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910216-П/2026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Люлина Андрея Дмитриевича на нарушение его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А.Д.Люлина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А.Д.Люлин оспаривает конституционность части первой статьи 98 «Распределение судебных расходов между сторонами» ГПК Российской Федерации. Как следует из представленных материалов, судом общей юрисдикции удовлетворены заявленные в том числе к А.Д.Люлину исковые требования об исправлении ошибок в сведениях Единого государственного реестра недвижимости. Впоследствии суд апелляционной инстанции взыскал с А.Д.Люлина судебные расходы. При этом судом принималось во внимание отсутствие возражений на требования истца со стороны других ответчиков и 2 процессуальное поведение А.Д.Люлина. Кассационный суд общей юрисдикции согласился с выводами суда апелляционной инстанции.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А.Д.Люлина, оспариваемое законоположение противоречит преамбуле, статьям 29 (часть 1) и 123 (часть 3) Конституции Российской Федерации, поскольку не содержит критериев разграничения оснований для присуждения судебных расходов, что позволяет суду взыскивать с проигравшей спор стороны судебные расходы, в том числе связанные с ее процессуальным поведением, даже в случаях отсутствия нарушения этой стороной прав и законных интересов выигравшей спор стороны.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Люлина Андрея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