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статьями 392 и 393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О.А.Желудько, которому письмом сотрудника аппарата Верховного Суда Российской Федерации было возвращено заявление о пересмотре по вновь открывшимся обстоятельствам определений судей этого суда об отказе в передаче кассационных жалоб для рассмотрения в судебном заседании суда кассационной инстанции, оспаривает конституционность статей 392 «Основания для пересмотра судебных постановлений, вступивших в законную силу (по вновь открывшимся или новым обстоятельствам)» и 393 «Суды, пересматривающие судебные постановления по вновь открывшимся или новым обстоятельствам» ГПК Российской Федерации. 2 По мнению заявителя, оспариваемые законоположения противоречат Конституции Российской Федерации, поскольку препятствуют пересмотру по вновь открывшимся обстоятельствам определений судей Верховного Суда Российской Федерации об отказе в передаче кассационных жалоб для рассмотрения в судебных заседаниях суда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