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1-П/2010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января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Мудрагелева Василия Викторовича на нарушение его конституционных прав пунктом 2 статьи 1070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Н.В.Селезнева, В.Г.Стрекозова, О.С.Хохряковой, В.Г.Ярославцева, рассмотрев по требованию гражданина В.В.Мудрагелева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гражданину В.В.Мудрагелеву было отказано в удовлетворении искового требования к Министерству финансов Омской области и Управлению Судебного департамента при Верховном Суде Российской Федерации в Омской области о взыскании убытков, причиненных его незаконным привлечением мировым судьей к административной ответственности. При этом суд, руководствуясь в том числе пунктом 2 статьи 1070 ГК Российской Федерации, указал на то, что не 2 имеется оснований для возмещения вреда при отсутствии подтвержденной в установленном порядке вины судьи.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Положение пункта 2 статьи 1070 ГК Российской Федерации, в соответствии с которым вред, причиненный при осуществлении правосудия, возмещается только в случаях, если вина судьи установлена приговором суда, вступившим в законную силу, с учетом его конституционно-правового истолкования, выраженного в сохраняющих силу решениях Конституционного Суда Российской Федерации (Постановление от 25 января 2001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Мудрагелева Василия Викторовича,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