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публичного акционерного общества «ТНС энерго Ярославль» на нарушение его конституционных прав пунктом 2 статьи 113, пунктом 1 статьи 131 и пунктом 1 статьи 299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публичного акционерного общества «ТНС энерго Ярославль»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муниципального унитарного предприятия «Жилищно-коммунальное хозяйство» и оставленным без изменения постановлениями судов апелляционной и кассационной инстанций, исключено из конкурсной массы должника 264 единицы имущества, относящихся к системе водоснабжения и водоотведения, суд обязал Управление муниципальной собственности администрации города Переславль-Залесский принять спорное имущество; в удовлетворении требований об установлении размера компенсации за изъятие имущества и о взыскании компенсации за счет 2 казны муниципального образования отказано. При этом суды, опираясь, в частности, на разъяснения, данные со ссылкой на Постановление Конституционного Суда Российской Федерации от 16 мая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публичного акционерного общества «ТНС энерго Ярославль»,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