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Колесникова Игоря Анатольевича на нарушение его конституционных прав взаимосвязанными положениями части пятой статьи 79 Федерального конституционного закона «О Конституционном Суде Российской Федерации», пунктов 2 и 4 статьи 1086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вопрос о возможности принятия жалобы гражданина И.А.Колесникова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И.А.Колесников оспаривает конституционность взаимосвязанных положений части пятой статьи 79 «Юридическая сила решения» Федерального конституционного закона от 21 июля 1994 года № 1-ФКЗ «О Конституционном Суде Российской Федерации», пунктов 2 и 4 статьи 1086 «Определение заработка (дохода), утраченного в результате повреждения здоровья» ГК Российской Федерации. Решением суда первой инстанции удовлетворен иск И.А.Колесникова о возмещении вреда, причиненного преступлением, в том числе о 2 взыскании дохода от предпринимательской деятельности, утраченного в результате повреждения здоровья истца. Суд апелляционной инстанции, уменьшая взысканную сумму утраченного дохода до суммы прожиточного минимума, указал на непринятие судом первой инстанции во внимание Постановления Конституционного Суда Российской Федерации от 5 июня 2012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пятая статьи 79 Федерального конституционного закона «О Конституционном Суде Российской Федерации», не допускающая применения либо реализации каким-либо иным образом нормативного акта или отдельных его положений, признанных неконституционными вступившим в силу постановлением Конституционного Суда Российской Федерации, а также их применения в истолковании, расходящемся с их истолкованием в постановлении Конституционного Суда Российской Федерации (в том числе в делах, производство по которым возбуждено и решения предшествующих судебных инстанций состоялись до вступления в силу этого постановления Конституционного Суда Российской Федерации), сама по себе не допускает ее произвольного истолкования и применения и, будучи направленной на обеспечение исполнения решений Конституционного Суда Российской Федерации, не может рассматриваться как нарушающая конституционные права И.А.Колесникова. Пункт 2 статьи 1086 ГК Российской Федерации предполагает обеспечение потерпевшему эффективной возможности добиваться возмещения вреда путем взыскания с причинителя этого вреда утраченного дохода от предпринимательской деятельности, размер которого подлежит определению исходя из реально полученных им и достоверно подтвержденных доходов в соответствии с принципами равенства и 4 справедливости (Постановление Конституционного Суда Российской Федерации от 5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Колесникова Игоря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