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К. на нарушение его конституционных прав пунктом 1 статьи 49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 оспаривает конституционность пункта 1 статьи 49 Федерального закона от 28 марта 1998 года № 53-ФЗ «О воинской обязанности и военной службе», согласно которому предельный возраст пребывания на военной службе устанавливается для Маршала Российской Федерации, генерала армии, адмирала флота, генерал-полковника, адмирала – 65 лет; генерал-лейтенанта, вице-адмирала, генерал-майора, контр-адмирала – 60 лет; полковника, капитана 1 ранга – 55 лет; военнослужащего, имеющего иное воинское звание, – 50 лет. По мнению заявителя, которому после призыва на военную службу по мобилизации исполнилось 50 лет (в 2023 году), оспариваемая норма, примененная в его деле судами общей юрисдикции, не соответствует статьям 2 37 (часть 2) и 120 (часть 2) Конституции Российской Федерации в той мере, в какой она в системе действующего правового регулирования по смыслу, придаваемому ей правоприменительной практикой, предоставляет Министерству обороны Российской Федерации право сохранения военно- служебных отношений с гражданами, достигшими предельного возраста пребывания на военной службе, нарушая тем самым установленный в Конституции Российской Федерации запрет принудительного труда.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