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З. на нарушение его конституционных прав частью первой статьи 132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З.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27 сентября 2023 года), отказано в передаче для рассмотрения в судебном заседании суда кассационной инстанции поданных в защиту интересов гражданина З. жалоб о пересмотре вынесенных в том числе в его отношении судебных решений, согласно которым он был признан виновным в совершении в несовершеннолетнем возрасте в рамках ряда эпизодов в составе группы лиц иных действий сексуального характера с применением насилия к потерпевшему, не достигшему четырнадцатилетнего возраста (пункт «б» части четвертой статьи 132 «Насильственные действия сексуального характера» УК Российской Федерации), а также в покушении 2 на совершение такого преступления (часть третья статьи 30 и пункт «б» части четвертой статьи 132 того же Кодекса). При этом констатировано, в частности, что суд правильно расценил содеянное в качестве иных действий сексуального характера с применением насилия, несмотря на то, что данные действия были совершены в целях унижения потерпевшего и демонстрации превосходства над ним, а не в целях удовлетворения половых потребностей; по смыслу уголовного закона, отсутствие мотива сексуальной направленности со стороны осужденных не влияет на квалификацию их действий и не является обязательным признаком преступления, предусмотренного статьей 132 УК Российской Федерации. В данной связи З. просит признать противоречащей статьям 17 (часть 3), 19 (часть 1), 49 и 55 (части 2 и 3) Конституции Российской Федерации часть первую статьи 132 УК Российской Федерации, утверждая, что данная норма нарушает его права, поскольку допускает произвольное и расширительное толкование в правоприменительной практике термина «иные действия сексуального характера».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в сфере уголовно-правового регулирования – в силу статьи 54 (часть 2) Конституции Российской Федерации, основанной на принципе nullum crimen, nulla poena sine lege (нет преступления, нет наказания без указания на то в законе), – особое значение приобретает требование определенности правовых норм. Так, любое преступление, а равно наказание за его совершение должны быть четко определены в законе, причем таким образом, чтобы исходя из текста соответствующей нормы – в случае необходимости с помощью толкования, данного ей судами, – каждый мог предвидеть уголовно-правовые последствия своих действий (бездействия) (постановления от 27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