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746-О/2024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 на нарушение конституционных прав ее несовершеннолетних детей статьей 135 Семейного кодекса Российской Федерации и частью второй статьи 264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П.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П., действующая в интересах своих несовершеннолетних детей, оспаривает конституционность статьи 135 «Изменение даты и места рождения усыновленного ребенка» Семейного кодекса Российской Федерации и части второй статьи 264 «Дела об установлении фактов, имеющих юридическое значение» ГПК Российской Федерации. Из представленных материалов следует, что определением судьи суда общей юрисдикции, оставленным без изменения определением суда апелляционной инстанции, отказано в принятии заявления, в котором П. и другое лицо (А.) просили установить факты, имеющие юридическое значение: место и дату рождения их сына и место рождения их дочери. В 2 обоснование заявления было указано, в частности, что дети родились в разных странах, в том числе с применением суррогатного материнства. Судья отметил, что факты, об установлении которых просили П. и А., ни для них, ни для их несовершеннолетних детей не влекут возникновения, изменения или прекращения личных или имущественных прав; кроме того, сами П. и А. указывают, что эти факты не имели места. Суд апелляционной инстанции отклонил доводы частной жалобы о необходимости применения закона, регламентирующего внесение изменений в акты записи гражданского состояния при усыновлении детей, по аналогии.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нормы противоречат статьям 7 (часть 2), 17 (часть 1), 19 (часть 1), 55 (часть 3) и 72 (пункт «ж1» части 1) Конституции Российской Федерации, поскольку по смыслу, придаваемому им правоприменительной практикой, они не позволяют изменить дату и место рождения ребенка, рожденного суррогатной матерью.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Из права каждого на судебную защиту его прав и свобод, как оно сформулировано в статье 46 Конституции Российской Федерации, не следует возможность выбора гражданином по своему усмотрению любых способов и процедур судебной защиты, особенности которых применительно к отдельным категориям дел определяются, исходя из Конституции Российской Федерации, федеральными законами (определения Конституционного Суда Российской Федерации от 2 июля 2013 года № 1046- О, от 17 февраля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