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 на нарушение его конституционных прав пунктом 1 статьи 152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 оспаривает конституционность пункта 1 статьи 152 ГК Российской Федерации, закрепляющего, что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по требованию заинтересованных лиц допускается защита чести, достоинства и деловой репутации гражданина и после его смерти. Решением суда общей юрисдикции, оставленным без изменения судами вышестоящих инстанций, отказано в удовлетворении иска К. об опровержении сведений, указанных должностным лицом органа опеки и попечительства в 2 исковом заявлении о лишении заявителя и гражданки К. родительских прав, рассмотрение которого приостановлено судом в связи с назначением экспертизы. Суды исходили из того, что в деле по иску о защите чести и достоинства не может оцениваться достоверность сведений, подлежащих проверке в другом рассматриваемом деле, а также что обращение органа опеки и попечительства в суд с соответствующим исковым заявлением продиктовано необходимостью исполнения им служебных обязанностей в целях защиты прав и законных интересов несовершеннолетних детей. Определением судьи Верховного Суда Российской Федерации отказано в передаче кассационной жалобы К. для рассмотрения в судебном заседании суда кассационной инстанции. По мнению заявителя, оспариваемое положение противоречит статьям 17 (часть 1), 21 (часть 1), 23 (часть 1), 45 (часть 1), 46 (часть 1) и 52 Конституции Российской Федерации, поскольку по смыслу, придаваемому ему судебным толкованием, оно лишает гражданина права требовать опровержения порочащих его честь и достоинство сведений, указанных должностным лицом уполномоченного органа в исковом заявлении, рассмотрение которого не завершено в другом гражданском деле, а также освобождает должностных лиц, обращающихся в суд в рамках исполнения своих служебных обязанностей, от доказывания достоверности этих сведений.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