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Г. на нарушение ее конституционных прав статьей 151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Г.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 оспаривает конституционность статьи 151 «Компенсация морального вреда» ГК Российской Федерации. Как следует из представленных материалов, Г. обратилась в суд общей юрисдикции с иском о возмещении имущественного и морального вреда, причиненного ей и ее недееспособному сыну, опекуном которого она является, в результате незаконного привлечения подопечного к административной ответственности. Отказывая во взыскании компенсации морального вреда в пользу Г., суд указал, что, будучи опекуном потерпевшего, она сама незаконно к административной ответственности не привлекалась. Определением судьи Верховного Суда Российской Федерации отказано в передаче кассационной жалобы для рассмотрения в судебном заседании суда кассационной инстанции. 2 По мнению заявительницы, оспариваемое положение не соответствует статьям 2, 17 (части 1 и 2), 18, 22 (часть 1), 45, 46 и 55 (часть 2) Конституции Российской Федерации, поскольку по смыслу, придаваемому ему правоприменительной практикой, оно лишает мать лица, не способного по состоянию здоровья самостоятельно отстаивать свои права в суде, права на присуждение ей компенсации морального вреда, причиненного незаконным преследованием указанного лица по делу об административном правонарушении.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