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 на нарушение его конституционных прав статьей 144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 оспаривает конституционность статьи 144 Семейного кодекса Российской Федерации, предусматривающей, что 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удовлетворении требования В. об отмене его усыновления гражданином В. Суды указали на отсутствие доказательств того, 2 что усыновитель, умерший в 2019 году, дал согласие на отмену усыновления, а также ненадлежащим образом исполнял обязанности по воспитанию усыновленного, нарушил его права и законные интересы или совершил в отношении него преступление. Суд апелляционной инстанции также сослался на возраст В. (39 лет).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18, 21, 26, 38 и 55 Конституции Российской Федерации, поскольку для отмены усыновления в отношении гражданина, достигшего совершеннолетия, согласие усыновителя требуется даже после его смерти.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