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 на нарушение ее конституционных прав частью второй статьи 297 Уголовного кодекса Российской Федерации во взаимосвязи со статьей 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от 27 октября 2023 года гражданка Г. освобождена от уголовной ответственности за совершение преступления, предусмотренного частью второй статьи 297 УК Российской Федерации, ввиду истечения срока давности уголовного преследования. Этим же решением отказано в применении в отношении заявительницы принудительной меры медицинского характера. Г. утверждает о несоответствии статьям 10, 19 (части 1 и 2), 46 (часть 1), 55 (часть 3) и главе 7 Конституции Российской Федерации части второй статьи 297 «Неуважение к суду» УК Российской Федерации во взаимосвязи 2 со статьей 9 «Уважение чести и достоинства личности» УПК Российской Федерации. По мнению заявительницы, оспариваемые нормы противоречат также статье 7 «Равенство всех перед законом и судом» Федерального конституционного закона от 31 декабря 1996 года № 1-ФКЗ «О судебной системе Российской Федерации», статье 4 УК Российской Федерации и нарушают ее права, поскольку в силу своей неопределенности допускают необоснованное привлечение к уголовной ответственности за неуважение к суду, выраженное посредством высказываний, которые в иных условиях не признаются имеющими неприличную форму.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30 января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