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Гагарина Валерия Александровича на нарушение его конституционных прав частью четвертой статьи 330 и частью четвертой статьи 3797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В.А.Гагарина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В.А.Гагарин, к которому решением мирового судьи, оставленным без изменения судами вышестоящих инстанций, были частично удовлетворены исковые требования публичного акционерного общества о взыскании задолженности по оплате потребленной электрической энергии, оспаривает конституционность части четвертой статьи 330 «Основания для отмены или изменения решения суда в апелляционном порядке» и части четвертой статьи 3797 «Основания для отмены или изменения судебных постановлений кассационным судом общей юрисдикции» ГПК Российской Федерации. 2 По мнению заявителя, оспариваемые законоположения не соответствуют статьям 19 (части 1 и 2), 35 (часть 1), 45, 46 (часть 1) и 55 (части 1 и 2) Конституции Российской Федерации, поскольку они допускают возможность судам произвольно применять содержащиеся в них предписания, тем самым позволяя выносить судебные постановления без изложения мотивов отклонения доказательств, требований и возражений лиц, участвующих в деле, не применять законы и иные правовые акты, на которые они ссылались. Кроме того, В.А.Гагарин полагает необходимым внести целесообразные, с его точки зрения, дополнения в оспариваемые положения, а также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Гагарина Валерия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