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Петровой Лидии Ивановны на нарушение ее конституционных прав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Л.И.Петровой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Л.И.Петрова, которой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оспаривает конституционность пункта 1 части второй статьи 3907 «Рассмотрение кассационных жалобы, представления» ГПК Российской Федерации. По мнению заявительницы, оспариваемое законоположение не соответствует Конституции Российской Федерации, в том числе ее статьям 15 (части 1 и 2), 18, 19 (части 1 и 2), 35 и 123, поскольку оно позволяет судье 2 Верховного Суда Российской Федерации единолично решать вопрос о наличии либо отсутствии оснований для пересмотра судебных постановлений в кассационном порядке, тем самым препятствует реализации права на судебную защиту. Кроме того, Л.И.Петрова ставит иные вопросы, не связанные с проверкой конституционности нормативных правовых актов.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Петровой Лидии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