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2063-О/2023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Павельевой Жанны Сергеевны на нарушение ее конституционных прав пунктом 1 части второй статьи 3904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Ж.С.Павельевой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Ж.С.Павельева оспаривает конституционность пункта 1 части второй статьи 3904 «Порядок подачи кассационных жалобы, представления в судебную коллегию Верховного Суда Российской Федерации» ГПК Российской Федерации. Как следует из представленных материалов, решением мирового судьи, оставленным без изменения судом апелляционной инстанции и кассационным судом общей юрисдикции, частично удовлетворены исковые требования товарищества собственников жилья, предъявленные к Ж.С.Павельевой, о взыскании задолженности по оплате содержания, управления и ремонта общего имущества в многоквартирном доме. 2 По мнению заявительницы, оспариваемое законоположение не соответствует статьям 2, 18, 45, 46 и 126 Конституции Российской Федерации, поскольку оно исключает возможность обжалования в Судебную коллегию по гражданским делам Верховного Суда Российской Федерации принятых по делу, подсудному мировому судье, судебных постановлений, которые не были изменены или отменены кассационным судом общей юрисдикции, несмотря на то, что основание для отмены судебных постановлений в кассационном порядке имелось в силу пункта 2 части четвертой статьи 3797 ГПК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Павельевой Жанны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