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Улановой Любови Юрьевны на нарушение ее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Л.Ю.Улановой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Л.Ю.Уланова оспаривает конституционность положений Гражданского процессуального кодекса Российской Федерации, в том числе части первой статьи 112 «Восстановление процессуальных сроков», части первой статьи 195 «Законность и обоснованность решения суда», части первой статьи 321 «Порядок и срок подачи апелляционных жалобы, представления», статей 322 «Содержание апелляционных жалобы, представления», 329 «Постановление суда апелляционной инстанции» и 334 «Полномочия суда апелляционной инстанции при рассмотрении частной жалобы, представления прокурора». 2 Как следует из представленных материалов, определением суда общей юрисдикции, оставленным без изменения судами апелляционной и кассационной инстанций, Л.Ю.Улановой отказано в восстановлении пропущенного процессуального срока на подачу частной жалобы на вынесенное по ее делу определение того же суда о возмещении расходов по оплате экспертизы.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гражданским делам этого Суда. По мнению Л.Ю.Улановой, оспариваемые законоположения не соответствуют Конституции Российской Федерации, в частности ее статьям 17 (часть 3), 19, 46, 55, 123 и 128, поскольку лишают ее права на восстановление пропущенного процессуального срока на обжалование судебного постановления, позволяют суду не учитывать приводимые ею новые доводы о наличии уважительных причин пропуска данного срока, не обеспечивают принятие судом законного и обоснованного решения и препятствуют возмещению понесенных по делу судебных расходов.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Л.Ю.Улановой в обоснование своей позиции, свидетельствуют о том, что нарушение своих конституционных прав она связывает не с содержанием оспариваемых норм, которые выступают процессуальной гарантией реализации права на судебную защиту и призваны обеспечить принятие судом законного и обоснованного решения, а, по существу, с неправильным, по ее мнению, их применением в вынесенных по конкретному делу судебных постановлениях, в том числе с неверным установлением судом фактических обстоятельств дела, исследованием и оценкой доказательств. Между тем разрешение соответствующих вопросов не входит в компетенцию Конституционного Суда Российской Федерации, как она определена в статье 125 Конституции Российской Федерации и 3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Улановой Любови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