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2807-О/2023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Семилуцкого Владимира Фёдоровича на нарушение его конституционных прав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В.Ф.Семилуцкого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В.Ф.Семилуцкий, кассационная жалоба которого в Судебную коллегию по гражданским делам Верховного Суда Российской Федерации на судебные постановления по делу, разрешенному мировым судьей, была возвращена без рассмотрения по существу письмом сотрудника аппарата этого суда как поданная на судебные постановления, не подлежащие обжалованию в соответствующем порядке, оспаривает конституционность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2 По мнению заявителя, оспариваемое законоположение не соответствует статьям 15 (часть 1), 19 (части 1 и 2), 55 (часть 2) и 123 (часть 3) Конституции Российской Федерации, поскольку оно исключает возможность обжалования в Судебную коллегию по гражданским делам Верховного Суда Российской Федерации судебных постановлений, принятых по делу, подсудному мировому судье, в случае если они не были изменены или отменены кассационным судом общей юрисдикции, чем ставит в неравное положение участников гражданского судопроизводства.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Семилуцкого Владимира Фёдоровича,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