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Золотухина Владимира Владимировича на нарушение его конституционных прав статьей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В.В.Золотухина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В.В.Золотухин оспаривает конституционность статьи 98 «Распределение судебных расходов между сторонами» ГПК Российской Федерации. Как следует из представленных материалов, определением суда общей юрисдикции было удовлетворено заявление гражданки П. о взыскании судебных расходов, связанных с рассмотрением гражданского дела по заявленным к ней исковым требованиям ряда граждан, в том числе В.В.Золотухина, о взыскании материального ущерба, причиненного заливом квартиры. 2 В связи с этим заявитель просит признать применение судом статьи 98 ГПК Российской Федерации в его конкретном деле неконституционным, признать действия судьи и эксперта неконституционными, а также отменить принятые по делу с его участием судебные постановления и передать дело для пересмотра другому судье.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конституционных прав. Между тем представленное с жалобой определение суда первой инстанции не подтверждает факта исчерпания заявителем внутригосударственных средств судебной защиты его прав при разрешении конкретного дела. Что же касается иных поставленных В.В.Золотухиным вопросов, не связанных с проверкой конституционности нормативного акта, то их разрешение не входит в компетенцию Конституционного Суда Российской 3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Золотухина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