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статьей 1031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статьи 1031 «Разрешение вопросов о судебных расходах» ГПК Российской Федерации, полагая, что она нарушает ее права, гарантированные статьями 30, 46 (часть 1) и 55 (часть 3) Конституции Российской Федерации. Как следует из представленных материалов, определением суда общей юрисдикции удовлетворено заявление садового некоммерческого товарищества (ответчика по делу по иску С.Б.Козловой об обязании совершить определенные действия и о взыскании компенсации морального вреда) о возмещении судебных расходов. Определением судьи 2 кассационного суда общей юрисдикции, оставленным без изменения судебной коллегией по гражданским делам этого же суда, кассационная жалоба С.Б.Козловой на данное определение возвращена без рассмотрения по существу в связи с тем, что оно не было обжаловано в соответствии с правилами подсудности в суде апелляционной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представленные с жалобой судебные постановления не подтверждают факта исчерпания заявительницей внутригосударственных средств судебной защиты ее прав при разрешении конкретного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