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2806-О/2023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Борщевского Александра Павловича на нарушение его конституционных прав пунктом 4 статьи 7 Федерального закона «О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А.П.Борщевского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А.П.Борщевский оспаривает конституционность пункта 4 статьи 7 Федерального закона от 30 июня 2006 года № 93-ФЗ «О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имущества», которым статья 3 Федерального закона от 25 октября 2001 года № 137-ФЗ «О введении в действие Земельного кодекса Российской Федерации» дополнена пунктом 91, закрепляющим основания, условия и порядок предоставления земельных участков в 2 собственность, а также государственной регистрации права собственности на земельные участки, предоставленные гражданам до введения в действие Земельного кодекса Российской Федерации. Кроме того, заявитель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изложенные А.П.Борщевским в жалобе, свидетельствуют о том, что он, не оспаривая по существу конституционность пункта 4 статьи 7 Федерального закона «О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имущества», выражает несогласие с неприменением указанной нормы судами при разрешении его дела. Между тем оценка правильности выбора норм, подлежащих применению в конкретном деле заявителя, как требующая установления и исследования фактических обстоятельств данного дела, а равно разрешение иных поставленных в жалобе вопросов, не связанных с проверкой конституционности нормативных актов, не относятся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Борщевского Александра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