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4 Закона Челябинской области «О транспортном налоге» в связи с запросом Законодательного Собрания Челябинской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С.Д.Князева, А.Н.Кокотова, Л.О.Красавчиковой, С.П.Маврина, Н.В.Мельникова, Ю.Д.Рудкина, Н.В.Селезнева, О.С.Хохряковой, В.Г.Ярославцева, с участием представителя Законодательного Собрания Челябинской области и Губернатора Челябинской области – кандидата юридических наук А.А.Грязева, руководствуясь статьей 125 (пункт «а» части 2) Конституции Российской Федерации, подпунктом «б» пункта 1 части первой, частями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статьи 4 Закона Челябинской области «О транспортном налоге». 2 Поводом к рассмотрению дела явился запрос Законодательного Собрания Челябинской области.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С.М.Казанцева, объяснения представителя Законодательного Собрания Челябинской области и Губернатора Челябинской области, выступление приглашенного в заседание представителя Совета Федерации А.С.Саломаткина,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Пунктом 2 статьи 4 Закона Челябинской области от 28 ноября 2002 года Решением Челябинского областного суда от 19 мая 2011 года, оставленным без изменения определением Судебной коллегии по административным делам Верховного Суда Российской Федерации от 3 августа 2011 года, было отказано в удовлетворении заявления гражданки Н.П.Андреевой об оспаривании ряда положений Закона Челябинской области «О транспортном налоге», включая пункт 2 его статьи 4, как устанавливающих дискриминационное разделение льготной категории граждан (пенсионеров) в зависимости от мощности двигателя легкового автомобиля, находящегося в их собственности, без учета фактической способности налогоплательщика к уплате налога, на том основании, что оспариваемые законоположения не противоречат федеральному закону. Уставный суд Челябинской области, рассмотрев по жалобе Н.П.Андреевой дело о проверке соответствия тех же положений Закона Челябинской области «О транспортном налоге» Уставу (Основному Закону) Челябинской области, пришел к выводу, что отмена соответствующей налоговой льготы для определенной категории пенсионеров представляет собой отказ Челябинской области от взятых ею на себя обязательств по обеспечению условий для социальной поддержки и социального обслуживания населения Челябинской области, и постановлением от 12 февраля 2013 года признал пункт 2 статьи 4 названного Закона не соответствующим статьям 2 (часть 1) и 69 (часть 1) Устава (Основного Закона) Челябинской области в той мере, в какой им ограничивается право данной категории пенсионеров на налоговую льготу. Законодательное Собрание Челябинской области полагает, что установление налоговых льгот, адресованных определенной категории налогоплательщиков, как и их отмена относятся к его дискреционным полномочиям как законодателя субъекта Российской Федерации, и просит подтвердить конституционность пункта 2 статьи 4 Закона Челябинской 4 области «О транспортном налоге» в части, признанной Уставным судом Челябинской области не соответствующей Уставу (Основному Закону) Челябинской области. По смыслу статей 5 (часть 2), 73 и 118 Конституции Российской Федерации, признание нормативного правового акта субъекта Российской Федерации не соответствующим его конституции (уставу) может осуществляться лишь органом конституционного правосудия данного субъекта Российской Федерации, которому такое полномочие предоставлено конституцией (уставом). Нормативный правовой акт субъекта Российской Федерации, изданный по вопросу, относящемуся к ведению Российской Федерации или к совместному ведению Российской Федерации и ее субъектов, может быть проверен также на соответствие Конституции Российской Федерации Конституционным Судом Российской Федерации, в том числе по запросам органов и лиц, указанных в статье 125 (часть 2) Конституции Российской Федерации, если они считают этот нормативный правовой акт не подлежащим действию, как неконституционный, либо подлежащим действию вопреки официально принятому решению высших государственных органов субъекта Российской Федерации (статья 85 Федерального конституционного закона «О Конституционном Суде Российской Федерации»). Из этого, как указывал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Российская Федерация как демократическое, правовое и социальное государство (статья 1, часть 1; статья 7, часть 1, Конституции Российской Федерации) осуществляет в целях соблюдения и защиты прав и свобод человека и гражданина как высшей ценности (статья 2 Конституции Российской Федерации) и в интересах всего общества социальную, экономическую, правоохранительную и другие функции, которые материально обеспечиваются взимаемыми с граждан и юридических лиц налогами. Налоги, имеющие, таким образом, публичное предназначение, являются необходимой экономической основой существования и деятельности государства, условием реализации им указанных публичных функций, а обязанность платить законно установленные налоги и сборы распространяется на всех налогоплательщиков в качестве непосредственного требования Конституции Российской Федерации (статья 57). Согласно Конституции Российской Федерации установление общих принципов налогообложения и сборов в Российской Федерации находится в совместном ведении Российской Федерации и ее субъектов (статья 72, пункт «и» части 1);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Из приведенных положений Конституции Российской Федерации во взаимосвязи с ее статьей 5 (части 2 и 3) вытекает, что в сфере 7 налогообложения законодатель субъекта Российской Федерации действует в пределах компетенции, которая предоставлена ему Конституцией Российской Федерации и конкретизирующим ее федеральным законодательством о налогах и сборах. При этом, поскольку, как указал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Налоговому кодексу Российской Федерации транспортный налог является региональным налогом (статья 14), он устанавливается данным Кодексом и законами субъектов Российской Федерации о налоге, 8 вводится в действие в соответствии с данным Кодексом законами субъектов Российской Федерации о налоге и обязателен к уплате на территории соответствующего субъекта Российской Федерации; устанавливая транспортный налог, законодательные (представительные) органы субъектов Российской Федерации определяют ставку налога, порядок и сроки его уплаты; при установлении налога законами субъектов Российской Федерации могут также предусматриваться налоговые льготы и основания для их использования налогоплательщиком (статья 356). Исходя из этого в Законе Челябинской области «О транспортном налоге» для отдельных категорий граждан и организаций предусмотрены налоговые льготы как в виде освобождения от уплаты транспортного налога, так и в виде установления пониженной налоговой ставки (статья 4). В частности, для пенсионеров, имеющих в собственности транспортные средства, названным Законом в первоначальной редакции (от 28 ноября 2002 года) была введена пониженная налоговая ставка при уплате данного налога в отношении одного транспортного средства по выбору налогоплательщика. С 1 января 2009 года в связи с принятием Закона Челябинской области «О внесении изменений в статьи 2 и 4 Закона Челябинской области «О транспортном налоге» право на указанную налоговую льготу сохранилось только за пенсионерами, имеющими в собственности легковые автомобили с мощностью двигателя до 150 лошадиных сил (до 110,33 кВт) включительно. Соответственно, пенсионеры, имевшие на 1 января 2009 года в собственности легковые автомобили с большей мощностью двигателя, такое право утратили. Как неоднократно указывал Таким образом, пункт 2 статьи 4 Закона Челябинской области «О транспортном налоге» – в той мере, в какой им предоставляется налоговая льгота по транспортному налогу в виде сниженной налоговой ставки пенсионерам, в собственности которых находятся легковые автомобили с мощностью двигателя до 150 лошадиных сил (до 110,33 кВт) включительно, – не может рассматриваться как нарушающий предписание Конституции Российской Федерации о законном установлении налогов и сборов и закрепленное ею разграничение компетенции между органами государственной власти Российской Федерации и органами государственной власти субъектов Российской Федерации. Осуществленное законодателем Челябинской области в пределах его дискреционных полномочий изменение правового регулирования отношений по льготному налогообложению не может расцениваться и как снижающее конституционно обусловленный уровень социальной защиты пенсионеров и нарушающее их имущественные права. Соответственно, указанное законоположение не противоречит Конституции Российской Федерации и как таковое, по смыслу статьи 125 (часть 6) Конституции Российской Федерации и конкретизирующих ее положений статьи 79 Федерального конституционного закона «О Конституционном Суде Российской Федерации», сохраняет юридическую силу и подлежит применению судами, другими органами и должностными лицами. 12 Этим не исключается правомочие законодателя Челябинской области – исходя из требований Конституции Российской Федерации и правовых позиций Конституционного Суда Российской Федерации, выраженных в том числе в настоящем Постановлении, – внести изменения в действующее правовое регулирование в порядке совершенствования механизма предоставления плательщикам транспортного налога – пенсионерам, как социально уязвимой категории населения, налоговых льгот с учетом их социальной направленности. Исходя из изложенного и руководствуясь статьей 6, частью второй статьи 71, статьями 72, 74, 75, 78,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Постановлении от 2 декабря 2013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конституционных положений, а именно статьи 55 (часть 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 и статьи 72, пункты «б», «ж» части 1 (в совместном ведении Российской Федерации и ее субъектов находится защита прав и свобод человека и гражданина, в том числе социальная защита, включая социальное обеспечение), следует, что на региональном уровне законодателем может устанавливаться более высокий стандарт защиты (социальных) прав и свобод. Сообразно этому и региональные органы конституционного контроля могут принимать решения, полнее обеспечивающие права человека на том или ином этапе социально- экономического развития региона, чем это мог бы сделать федеральный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практике Европейского Суда по правам человека, требование правовой определенности предполагает, что судебные решения, по общему правилу, должны оставаться окончательными. Правовая определенность предполагает уважение принципа «res judicata», т. е. принципа недопустимости повторного рассмотрения уже разрешенного дела (Постановление от 28 октября 1999 года по делу «Брумареску против Румынии»). Суд не вправе пересматривать вступившее в законную силу постановление только в целях проведения повторного слушания и получения нового судебного постановления. Отступление от принципа правовой определенности может быть оправдано только обстоятельствами существенного и непреодолимого характера. Оно возможно для исправления существенного (фундаментального) нарушения, свидетельствующего о ненадлежащем отправлении правосудия (Постановления от 18 ноября 2004 года по делу «Праведная против России», от 23 июля 2009 года по делу «Сутяжник против России»). Из постановления Уставного суда Челябинской области от 12 февраля 2013 года № 001/13-П усматривается, что к участию в деле привлекались и давали устные пояснения представители Законодательного собрания Челябинской области, Правительства, Министерства финансов, исследовались представленные материалы и документы. Эти доказательства нашли свое отражение и в самом тексте решения (стр. 3–4); принципы состязательности и равноправия сторон не были нарушены. При таких 27 обстоятельствах нет оснований усомниться в обоснованности и справедливости принятого Уставным судом Челябинской области решения, счесть его выводы явно ошибочными, содержащими фундаментальные нарушения. Даже если оно, с точки зрения Конституционного Суда Российской Федерации, несовершенно, дефектно, оно все равно должно уважаться им как вступившее в законную силу решение, вынесенное судом в пределах его полномочий. В настоящем деле имела место коллизия двух конституционных ценностей: с одной стороны, это ценность принципов верховенства права и, в частности, res judicata, предполагающего уважение всякого окончательного судебного решения, а с другой – ценность верховенства федеральной Конституции и ценность «последнего слова» ее охранителя и гаранта – Конституционного Суда Российской Федерации. При этом, по всей видимости, Суд столкнулся с коллизией относительно равнозначных ценностей – во всяком случае, ни одна из них очевидно не превалирует над другой. Коллизия конституционных ценностей, как самая сложная проблема аксиологии конституционного права, может быть разрешена с использованием той юридической методологии, которую предложил Европейский Суд по правам человека в Постановлении от 19 февраля 1998 года по делу «Боуман против Соединенного Королевства». Она состоит в том, что необходимо искать справедливый баланс между равнозначными конституционными ценностями. Баланс можно считать справедливым, когда ни одной из этих ценностей не отдается безусловный приоритет, а действие одного принципа (ценности, права) создает имманентные пределы для другого принципа (права или конституционной ценности). Следовательно, для того чтобы ценностям верховенства права и правовой определенности, принципу res judicata не наносился чрезмерный ущерб, выхолащивающий само их содержание, Конституционному Суду Российской Федерации не стоило делать в резолютивной части своего решения такого вывода, который позволял бы региональному законодателю полностью игнорировать решение 28 Уставного суда Челябинской области. И если даже мы исходим из приоритета ценности верховенства федеральной Конституции, то верным ориентиром для него, напротив, был бы поиск компромиссного решения, отражавшего бы умозаключения обоих высоких судов – Конституционного и Уставного. Строго говоря, на поиск такого компромисса ориентирует и сам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