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Г.П.Лукичова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Поводом к рассмотрению дела явилась жалоба гражданина Г.П.Лукичова.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129 Трудового кодекса Российской Федерации, раскрывающей содержание основных понятий, используемых при регулировании оплаты труда, заработной платой (оплатой труда работника) признаются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(часть первая); тарифной ставкой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 (часть третья); окладом (должностным окладом)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 (часть четвертая); базовым окладом (базовым должностным окладом), базовой ставкой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3 квалификационную группу, без учета компенсационных, стимулирующих и социальных выплат (часть пятая). Часть первая статьи 133 данного Кодекса предусматривает, что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а часть третья той же статьи закрепляет правило, в соответствии с которым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В силу статьи 1331 названного Кодекса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 (часть первая) для работников, работающих на его территории, за исключением работников организаций, финансируемых из федерального бюджета (часть вторая); размер минимальной заработной платы в субъекте Российской Федерации устанавливается с учетом социально- экономических условий и величины прожиточного минимума трудоспособного населения в нем (часть третья) и не может быть ниже минимального размера оплаты труда, установленного федеральным законом (часть четвертая); 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частями третьей и четвертой статьи 48 данного Кодекса или на которого указанное соглашение распространено в порядке, установленном частями шестой – восьмой статьи 1331 данного Кодекса, не может быть ниже размера минимальной заработной платы в этом субъекте Российской Федерации при условии, что таким работником полностью отработана за этот период норма рабочего времени и выполнены нормы труда (трудовые обязанности) (часть одиннадцатая). 4 Заявитель по настоящему делу гражданин Г.П.Лукичов работает в областном государственном бюджетном профессиональном образовательном учреждении «Жадовский сельскохозяйственный техникум» с 22 сентября 2016 года. В период с 25 сентября по 31 октября 2017 года он совмещал обязанности машиниста (кочегара), зольщика (истопника) и слесаря-сантехника, а с 25 сентября 2018 года на время отопительного сезона 2018–2019 годов совмещал обязанности машиниста (кочегара) и зольщика (истопника). Заявитель обратился в суд с иском о взыскании, в частности, недополученной заработной платы, в обоснование которого указал, что работодатель при исчислении его заработной платы начисляет различного рода выплаты, в том числе за сверхурочную работу, работу в выходные и нерабочие праздничные дни, за работу в ночное время, за работу, выполняемую в порядке совмещения профессий (должностей), на оклад, составляющий менее минимального размера оплаты труда в Российской Федерации, хотя все эти выплаты должны начисляться после того, как его оклад будет увеличен до минимального размера оплаты труда. Решением Барышского городского суда Ульяновской области от 27 февраля 2019 года в удовлетворении указанной части исковых требований отказано. Суд не усмотрел нарушения права заявителя на оплату труда, аргументировав это тем, что с учетом установленного оклада, оплаты работы, выполняемой в порядке совмещения должностей, а также начисленных надбавок за работу в ночное время, работу в выходные и праздничные дни, сверхурочную работу размер выплачиваемой истцу среднемесячной заработной платы был не ниже и в некоторых случаях превышал установленный федеральным законом в 2017–2019 годах минимальный размер оплаты труда. Апелляционным определением судебной коллегии по гражданским делам Ульяновского областного суда от 18 июня 2019 года решение суда в части отказа в удовлетворении исковых требований о взыскании задолженности по заработной плате отменено и принято новое решение. Суд, опираясь на правовые позиции Конституционного Суда Российской 5 Федерации, выраженные в Постановлении от 11 апреля 2019 года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правовым социальным государством, политика которого направлена на создание условий, обеспечивающих достойную жизнь и свободное развитие человека, закрепляет, что в Российской Федерации охраняются труд и здоровье людей, каждый имеет право на вознаграждение за труд без какой бы то ни было дискриминации и не ниже установленного федеральным законом минимального размера оплаты труда (статья 1, часть 1; статья 7; статья 37, часть 3). Право на справедливую заработную плату и равное вознаграждение за труд равной ценности без какого бы то ни было различия признается одним из важнейших прав в сфере труда Всеобщей декларацией прав человека (статья 23), Международным пактом об экономических, социальных и культурных правах (статья 7), а также Европейской социальной хартией (пересмотренной), принятой в городе Страсбурге 3 мая 1996 года (статья 4 части II). В силу приведенных положений Конституции Российской Федерации и международно-правовых актов правовое регулирование оплаты труда лиц, работающих по трудовому договору, должно гарантировать установление им заработной платы в размере, обусловленном объективными критериями, отражающими квалификацию работника, характер и содержание его трудовой 7 деятельности и учитывающими условия ее осуществления, которые в совокупности определяют объем выплачиваемых работнику денежных средств, необходимых для нормального воспроизводства рабочей силы. При этом определение конкретного размера заработной платы должно не только основываться на количестве и качестве труда, но и учитывать необходимость реального повышения размера оплаты труда при отклонении условий работы от нормальных (постановления Конституционного Суда Российской Федерации от 7 декабря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первой статьи 129 Трудового кодекса Российской Федерации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Соответственно, заработная плата работника помимо тарифной части (тарифной ставки, оклада, в том числе должностного) может включать в себя стимулирующие и (или) компенсационные выплаты. Наряду с этим в том случае, когда трудовая деятельность осуществляется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(статья 149 Трудового кодекса Российской Федерации). 8 Соответственно, оплата труда работника может состоять из заработной платы, установленной для него с учетом условий труда и особенностей трудовой деятельности, и выплат за осуществление работы в условиях, отклоняющихся от нормальных, в том числе при совмещении профессий (должностей).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положениям частей первой и второй статьи 602 Трудового кодекса Российской Федерации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поручаемая работнику дополнительная работа по другой профессии (должности) осуществляется путем совмещения профессий (должностей). В соответствии с частями третьей и четвертой этой статьи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 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 По своей правовой природе совмещение профессий (должностей) представляет собой выполнение работником с его согласия в течение установленной продолжительности рабочего дня (смены) наряду со своей основной работой по профессии (должности), предусмотренной трудовым договором, с соответствующей оплатой, отвечающей требованиям трудового законодательства, дополнительной работы по другой профессии (должности). Как следует из буквального смысла указанных положений Трудового кодекса Российской Федерации, такая дополнительная работа в порядке совмещения профессий (должностей) оплачивается отдельно – за ее выполнение предусмотрена доплата, размер которой устанавливается по соглашению 9 сторон трудового договора с учетом содержания и (или) объема дополнительной работы (статья 151 названного Кодекса). Установление при совмещении профессий (должностей) повышенной оплаты в виде дополнительного вознаграждения обусловлено тем обстоятельством, что в течение рабочего дня (смены) работник выполняет как свою основную трудовую функцию, так и дополнительную работу по другой профессии (должности), что приводит к интенсификации труда и, соответственно, к дополнительной физиологической и психоэмоциональной нагрузке, которая должна быть компенсирована. Такое законодательное регулирование направлено на обеспечение надлежащей защиты работника как экономически более слабой стороны в трудовом правоотношении от произвольного возложения на него дополнительных обязанностей без соответствующей оплаты, призвано не только сгладить отрицательные последствия отклонения условий работы от нормальных, но и гарантировать эффективное осуществление работником права на справедливую заработную плату, что отвечает целям трудового законодательства.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Трудовой кодекс Российской Федерации в соответствии с требованиями статей 7 (часть 2) и 37 (часть 3) Конституции Российской Федерации предусматривает, что величина минимального размера оплаты труда является одной из основных государственных гарантий по оплате труда работников (статья 130). При этом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(часть первая статьи 133), а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(часть третья статьи 133). Согласно статье 1331 Трудового кодекса Российской Федерации в субъекте Российской Федерации региональным соглашением о 10 минимальной заработной плате может устанавливаться размер минимальной заработной платы, который определяется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 и не может быть ниже минимального размера оплаты труда, установленного федеральным законом (части первая, третья и четвертая).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статьи 129, частей первой и третьей статьи 133 и частей первой – четвертой и одиннадцатой статьи 1331 Трудового кодекса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включения в состав заработной платы (части заработной платы) работника, не превышающей минимального размера оплаты труда (минимальной заработной платы в субъекте Российской Федерации), дополнительной оплаты (доплаты) работы, выполняемой в порядке совмещения профессий (должностей).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взаимосвязанных положений статьи 129, частей первой и третьей статьи 133 и частей первой – четвертой и одиннадцатой статьи 1331 Трудового кодекса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Лукичова Геннадия Петровича подлежат пересмотру с учетом выявленного в настоящем Постановлении конституционно-правового смысла взаимосвязанных положений статьи 129, частей первой и третьей статьи 133 и частей первой – четвертой и одиннадцатой статьи 1331 Трудового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14</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