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ходатайству акционерного общества «Верхневолгоэлектромонтаж-НН» о разъяснении Постановления Конституционного Суда Российской Федерации от 25 апреля 2019 года № 19-П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Н.С.Бондаря, Г.А.Гаджиева, Л.М.Жарковой, С.М.Казанцева, С.Д.Князева, А.Н.Кокотова, Л.О.Красавчиковой, С.П.Маврина, Н.В.Мельникова, Ю.Д.Рудкина, В.Г.Ярославцева, рассмотрев ходатайство АО «Верхневолгоэлектромонтаж-НН» о разъяснении Постановления Конституционного Суда Российской Федерации от 25 апреля 2019 года № 19-П,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первой инстанции в удовлетворении исковых требований АО «Верхневолгоэлектромонтаж-НН» о взыскании с территориальной сетевой организации неосновательного обогащения в виде расходов, понесенных им с июля 2015 года по июль 2016 года в связи с обеспечением перетока электрической энергии потребителям, договоры о технологическом присоединении с которыми были заключены им в статусе территориальной сетевой организации, отказано по причине пропуска срока исковой давности, а также отсутствия в Постановлении Правительства Российской Федерации от 26 декабря 2019 года № 1857 «О внесении 2 изменений в некоторые акты Правительства Российской Федерации по вопросам компенсации расходов на приобретение электрической энергии (мощности) в целях компенсации потерь электрической энергии собственникам или иным законным владельцам объектов электросетевого хозяйства, понесенных ими в связи с обеспечением перетока электрической энергии в энергопринимающие устройства потребителей электрической энергии» (принятого во исполнение Постановления Конституционного Суда Российской Федерации от 25 апреля 2019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Конституционным Судом Российской Федерации вынесенного им решения дается только в рамках предмета этого решения и лишь по тем требующим дополнительного истолкования вопросам, которые были предметом рассмотрения в судебном заседании; ходатайство о разъяснении не может быть удовлетворено, если поставленные в нем вопросы не требуют какого- либо дополнительного истолкования решения. В Постановлении от 25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ходатайство акционерного общества «Верхневолгоэлектромонтаж-НН» не подлежащим дальнейшему рассмотрению в заседании Конституционного Суда Российской Федерации, поскольку для разрешения поставленного заявителем вопроса не требуется официального разъяснения Постановления Конституционного Суда Российской Федерации от 25 апреля 2019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