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Рябоконя Марьяна Вячеславовича на нарушение его конституционных прав статьей 40117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М.В.Рябоконя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М.В.Рябоконь, осужденный и отбывающий наказание, просит признать не соответствующей статьям 17, 45, 46 (части 1 и 2) и 50 (часть 3) Конституции Российской Федерации статью 40117 «Недопустимость внесения повторных кассационных жалобы, представления» УПК Российской Федерации в той мере, в какой она препятствует эффективной судебной защите его прав.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2 Статья 40117 УПК Российской Федерации – согласно которой не допускается внесение повторных кассационных жалобы, представления по тем же правовым основаниям, теми же лицами в тот же суд кассационной инстанции, если ранее эти жалоба или представление в отношении того же лица рассматривались этим судом в судебном заседании либо были оставлены без удовлетворения постановлением судьи, – не может, как неоднократно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Рябоконя Марьяна Вячеславовича,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