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Динора Бориса Ильича на нарушение его конституционных прав пунктом 2 статьи 597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по требованию гражданина Б.И.Динора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судом апелляционной инстанции, было отказано в удовлетворении исковых требований гражданина Б.И.Динора – получателя ренты об изменении договора пожизненной ренты в части обязания плательщика ренты выплачивать ежемесячную денежную сумму в рублях, эквивалентную 75 долларам США, но не менее трех установленных в статье 1 Федерального закона от 19 июня 2000 года № 82-ФЗ «О минимальном размере оплаты труда» минимальных месячных размеров оплаты труда. 2 Установив, что в соответствии с договором истец передал квартиру за плату, определенную по взаимному соглашению сторон, и, сославшись, в частности, на пункт 2 статьи 585 ГК Российской Федерации, предусматривающий применение (постольку, поскольку иное не установлено правилами главы о ренте и не противоречит существу ренты) к отношениям по передаче имущества по договору ренты правил о купле-продаже, а в случае, когда такое имущество передается бесплатно, – правил о договоре дарения, а также на выводы, содержащиеся в Постановлении Конституционного Суда Российской Федерации от 27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Динора Бориса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