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Шитова Вячеслава Николаевича на нарушение его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В.Н.Шитова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В.Н.Шитов, кассационная жалоба которого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оспаривает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2 По мнению заявителя, оспариваемое законоположение не соответствует статьям 46 и 126 Конституции Российской Федерации, поскольку оно исключает возможность обжалования в Судебную коллегию по гражданским делам Верховного Суда Российской Федерации судебных постановлений, принятых по делу, подсудному мировому судье, в случае если они не были изменены или отменены кассационным судом общей юрисдикции.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Шитова Вячеслава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