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Горячева Дмитрия Викторовича на нарушение его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Д.В.Горячева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Д.В.Горячев, кассационная жалоба которого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По мнению заявителя, оспариваемое законоположение не соответствует статьям 19, 46 (части 1 и 2) и 55 Конституции Российской 2 Федерации, поскольку оно исключает возможность обжалования в Судебную коллегию по гражданским делам Верховного Суда Российской Федерации определения кассационного суда общей юрисдикции, которым не были изменены или отменены постановления мировых судей или вынесенные по результатам их обжалования определения районных судов.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Горячева Дмитрия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