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19-П/2011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Гуровой Оксаны Викторовны на нарушение ее конституционных прав положениями правовых актов субъекта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А.Н.Кокотова, Л.О.Красавчиковой, Н.В.Мельникова, Ю.Д.Рудкина, О.С.Хохряковой, В.Г.Ярославцева, рассмотрев по требованию гражданки О.В.Гуровой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 общей юрисдикции отказал гражданину Г. в удовлетворении иска к администрации муниципального образования, связанного с изменением очередности предоставления его семье, включая гражданку О.В.Гурову, социальной выплаты на приобретение (строительство) жилья в рамках краевой целевой программы «Обеспечение жильем или улучшение жилищных условий молодых семей в Алтайском крае» на 2004–2010 годы.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О.В.Гуровой материалы, не находит оснований для принятия ее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Гуровой Оксаны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