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части первой статьи 236 Трудового кодекса Российской Федерации, согласно которой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включительно; при неполной выплате в 2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По мнению И.А.Сысоева, оспариваемое законоположение противоречит статьям 1, 2, 17–19, 37, 45, 46, 47 (часть 1) и 55 Конституции Российской Федерации, поскольку не позволяет взыскать с работодателя проценты за задержку выплаты среднего заработка за время вынужденного прогула в случае несвоевременного исполнения судебного решения. Кроме того, в связи с принятием Конституционным Судом Российской Федерации Постановления от 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