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Донского Игоря Викторовича на нарушение его конституционных прав частью второй статьи 135 и статьей 193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И.В.Донского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И.В.Донской оспаривает конституционность следующих положений Трудового кодекса Российской Федерации: части второй статьи 135, согласно которой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2 актами в соответствии с трудовым законодательством и иными нормативными правовыми актами, содержащими нормы трудового права; статьи 193, закрепляющей порядок применения дисциплинарных взысканий. По мнению заявителя, оспариваемые нормы противоречат статьям 19 (части 1 и 2), 37 (часть 3), 46 (часть 1), 55 (часть 3), 75 (часть 5) и 751 Конституции Российской Федерации, поскольку позволяют работодателю произвольно устанавливать в локальном нормативном акте правила выплаты премии по итогам года и по своему усмотрению лишать данной премии работника, не привлеченного к дисциплинарной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судебными постановлениями, приложенными к жалобе, не подтверждается применение статьи 193 Трудового кодекса Российской Федерации в конкретном деле заявителя. Следовательно, жалоба И.В.Донского в этой части,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Донского Игоря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