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Владимира Николаевича на нарушение его конституционных прав подпунктом «в» пункта 2 статьи 51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В.Н.Морозова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В.Н.Морозовым материалы, не находит оснований для принятия его жалобы к рассмотрению. В Постановлении от 21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Владимира Николаевича, поскольку по предмету обращения Конституционным Судом Российской Федерации ранее было вынесено постановление, сохраняющее свою силу.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