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6-П/2012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Павлова Павла Валериевича на нарушение его конституционных прав статьями 167 и 302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Н.В.Мельникова, Ю.Д.Рудкина, О.С.Хохряковой, В.Г.Ярославцева, рассмотрев вопрос о возможности принятия жалобы гражданина П.В.Павлова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были удовлетворены исковые требования прокурора к гражданину П.В.Павлову и другим о признании договора передачи квартиры и договоров купли-продажи квартиры недействительными, о прекращении записей о государственной регистрации права собственности, о применении последствий недействительности сделок, о взыскании сумм, выселении жильцов из квартиры, снятии их с регистрационного учета и о вселении в квартиру недееспособного лица.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П.В.Павловым материалы, не находит оснований для принятия его жалобы к рассмотрению. Постановлением от 21 апреля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Павлова Павла Валериевича,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