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24-П/2014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сентября 2014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части 1 статьи 6.21 Кодекса Российской Федерации об административных правонарушениях в связи с жалобой граждан Н.А.Алексеева, Я.Н.Евтушенко и Д.А.Исакова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Н.В.Селезнева, О.С.Хохряковой,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части 1 статьи 6.21 КоАП Российской Федерации. Поводом к рассмотрению дела явилась жалоба граждан Н.А.Алексеева, Я.Н.Евтушенко и Д.А.Исакова. Основанием к рассмотрению дела явилась 2 обнаружившаяся неопределенность в вопросе о том, соответствует ли Конституции Российской Федерации оспариваемое заявителями законоположение. Заслушав сообщение судьи-докладчика Н.С.Бондаря, исследовав представленные документы и иные материалы, включая письменные отзывы полномочного представителя Совета Федерации в Конституционном Суде Российской Федерации А.И.Александрова и полномочного представителя Президента Российской Федерации в Конституционном Суде Российской Федерации М.В.Кротова,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Статьей 6.21 КоАП Российской Федерации установлена административная ответственность за пропаганду нетрадиционных сексуальных отношений среди несовершеннолетних, выразившуюся в распространении информации, направленной на формирование у несовершеннолетних нетрадиционных сексуальных установок, привлекательности нетрадиционных сексуальных отношений, искаженного представления о социальной равноценности традиционных и нетрадиционных сексуальных отношений, либо навязывание информации о нетрадиционных сексуальных отношениях, вызывающей интерес к таким отношениям, если эти действия не содержат уголовно наказуемого деяния (часть 1), а также введены специальные составы соответствующих административных правонарушений, сформулированные по признакам особых субъектов и средств их совершения (части 2–4). Конституционность статьи 6.21 КоАП Российской Федерации оспаривают граждане Н.А.Алексеев, Я.Н.Евтушенко и Д.А.Исаков, которые за совершение административных правонарушений, предусмотренных ее частью 1, были привлечены к административной ответственности с назначением каждому административного наказания в виде административного штрафа в размере 4000 рублей. 3 Постановлением мирового судьи судебного участка № 5 Октябрьского судебного района города Архангельска от 3 декабря 2013 года (оставлено без изменения решением Октябрьского районного суда города Архангельска от 23 января 2014 года) установлено, что Н.А.Алексеев проводил в общественном месте – у здания детской библиотеки одиночный пикет с целью пропаганды нетрадиционных сексуальных отношений среди несовершеннолетних, выразившейся в демонстрации плакатов с текстами «Гей-пропаганды не существует» и «Геями не становятся, геями рождаются!». Обстоятельства, изложенные в протоколе об административном правонарушении, Н.А.Алексеев не оспаривал, но при этом утверждал, что его действия не являлись пропагандой, а были направлены на распространение объективной информации, которая не может нанести вред здоровью, нравственному и духовному развитию несовершеннолетних. Однако его доводы судом были отклонены как противоречащие материалам дела. Постановлением того же мирового судьи от 3 декабря 2013 года (оставлено без изменения решением Октябрьского районного суда города Архангельска от 23 января 2014 года) установлено, что в том же общественном месте аналогичную акцию проводил Я.Н.Евтушенко, помогая Н.А.Алексееву держать плакаты с указанными надписями. Доводы Я.Н.Евтушенко о том, что данное публичное мероприятие имело целью не пропаганду нетрадиционных сексуальных отношений, а исключительно информационное воздействие на несовершеннолетних, судом были отклонены как не нашедшие подтверждения в материалах дела. Постановлением мирового судьи судебного участка № 3 Советского судебного района города Казани от 19 декабря 2013 года (оставлено без изменения решением Советского районного суда города Казани от 11 февраля 2014 года), вынесенным в отношении Д.А.Исакова, установлено, что им было проведено публичное мероприятие в форме одиночного пикета, в ходе которого использовался плакат с текстом «Быть геем и 4 любить геев – это нормально. Бить геев и убивать геев – это преступно». Суд пришел к выводу, что содержащаяся в тексте информация представляет собой пропаганду нетрадиционных сексуальных отношений. Доводы Д.А.Исакова, утверждавшего, что пикетирование проводилось с единственной целью – обратить внимание общества на недопустимость применения насилия к лицам с нетрадиционной сексуальной ориентацией, были признаны несостоятельными, тем более что к распространявшейся им информации, причиняющей вред здоровью и развитию детей, имели доступ несовершеннолетние. Как следует из статей 3, 36, 74, 96 и 97 Федерального конституционного закона «О Конституционном Суде Российской Федерации», конкретизирующих статью 125 (часть 4) Конституции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в России как демократическом правовом государстве человек, его права и свободы являются высшей ценностью, а их признание, соблюдение и защита на основе равенства всех перед законом и судом – обязанностью государства (статья 1, часть 1; статья 2; статья 19, части 1 и 2); права и свободы человека 8 и гражданина являются непосредственно действующими, они определяют смысл, содержание и применение законов, деятельность законодательной и исполнительной власти, местного самоуправления и обеспечиваются правосудием (статья 18). Как неоднократно указывал Конституционное признание достоинства личности основополагающей ценностью российской государственности предполагает обязанность Российской Федерации предоставлять гражданам гарантии от любого необоснованного вмешательства в сферу их индивидуальной автономии и одновременно с этим – соблюдая вытекающие из Конституции Российской Федерации, ее статей 17 (часть 3), 19 (части 1 и 2) и 55 (части 2 и 3), критерии и пределы возможных ограничений прав и свобод человека и гражданина – создавать им реальные возможности для свободного самоопределения и самовыражения. В силу принципа индивидуальной автономии личности, как он отражен в статьях 22 (часть 1), 23 (часть 1), 28 и 29 (части 1–4) Конституции Российской Федерации, гарантирующих каждому право на свободу и личную неприкосновенность, право на неприкосновенность частной жизни, свободу выбирать, иметь и распространять свои убеждения и действовать 9 сообразно с ними, свободу мысли и слова, право не быть принужденным к выражению своих мнений и убеждений и отказу от них, право свободно искать, получать, передавать, производить и распространять информацию любым законным способом, каждый человек вправе вести тот или иной, в наибольшей степени отвечающий его наклонностям и представлениям, образ жизни, он свободен в определении своих убеждений и предпочтений и может беспрепятственно их придерживаться, а государство должно не допускать произвольного вторжения в сферу частной жизни, уважать связанные с нею различия. Относящаяся к данной сфере свобода сексуального самоопределения подразумевает существование объективных различий в сексуальной идентичности и возможность для лиц, по общему правилу, достигших совершеннолетия, выбирать любые не сопряженные с насилием и причинением вреда жизни или здоровью либо угрозой его причинения конкретные варианты сексуального поведения, включая те, которые большинством могут оцениваться неодобрительно, в том числе с точки зрения этических, религиозных и иных представлений, сложившихся в конкретно-исторических социокультурных условиях развития данного общества. Соответственно, сами по себе сексуальные контакты, не подпадающие под уголовно-правовой запрет действий сексуального характера с лицом, не достигшим шестнадцатилетнего возраста, по обоюдному согласию между лицами одного пола не находятся ни под запретом международно-правовых норм, ни под запретом Конституции Российской Федерации, статья 19 (часть 2) которой гарантирует защиту равным образом всем лицам, вне зависимости от их сексуальной ориентации, а сексуальная ориентация как таковая не может служить правомерным критерием установления различий в правовом статусе человека и гражданина. В свою очередь, государство призвано принимать меры, направленные на исключение возможных ущемлений прав и законных 10 интересов лиц по мотиву их сексуальной ориентации, и обеспечивать эффективные возможности для защиты и восстановления их нарушенных прав на основе закрепленного в статье 19 (часть 1) Конституции Российской Федерации принципа равенства всех перед законом и судом. Данный конституционный принцип, предполагающий в том числе недопустимость ограничения в правах и свободах либо установления каких-либо преимуществ в зависимости от принадлежности к тем или иным социальным группам, под которыми могут пониматься и группы лиц с определенной сексуальной ориентацией, конкретизирован в нормах отраслевого законодательства (статья 3 Трудового кодекса Российской Федерации, пункт 6 статьи 25 Закона Российской Федерации от 19 апреля 1991 года № 1032-I «О занятости населения в Российской Федерации», пункт 4 части 1 статьи 18 Федерального закона от 27 июля 2004 года № 79- ФЗ «О государственной гражданской службе Российской Федерации», пункт 4 части 1 статьи 13 Федерального закона от 30 ноября 2011 года № 342-ФЗ «О службе в органах внутренних дел Российской Федерации и внесении изменений в отдельные законодательные акты Российской Федерации», пункт 2 части 1 статьи 3 Федерального закона от 29 декабря 2012 года № 273-ФЗ «Об образовании в Российской Федерации» и др.). Государственно-правовая охрана от дискриминации, в том числе по мотиву принадлежности или непринадлежности к каким-либо социальным группам, обеспечивается также применением мер административной (статья 5.62 КоАП Российской Федерации) и уголовной (пункт «е» части первой статьи 63 и статья 136 УК Российской Федерации) ответственности. Поскольку в Российской Федерации – в силу вытекающих из статей 13 (части 1–3), 19 (часть 1) и 29 (часть 4) Конституции Российской Федерации требований равенства всех перед законом, политического и идеологического многообразия, свободы искать, получать, передавать, производить и распространять информацию любым законным способом – в условиях демократического общества вопросы, связанные с сексуальным 11 самоопределением, не исключаются из публичного обсуждения, граждане, в том числе и те, чья сексуальная ориентация отличается от общепринятой, не могут быть лишены возможности в целях защиты своих прав и законных интересов или прав и законных интересов других лиц (социальных групп) использовать для привлечения внимания общественности к имеющимся фактам их нарушений все не запрещенные законом способы, в частности посредством организации и проведения публичных мероприятий или через средства массовой информации. Конституция Российской Федерации, не устанавливая для свободы слова и свободы распространения информации какие-либо идеологические или мировоззренческие критерии и ограничения и не предполагая навязывание большинством своих убеждений и предпочтений меньшинству, не дает, таким образом, оснований для установления запрета на ведение общественных дискуссий о сексуальных отношениях, включая нетрадиционные, и об обеспечении прав, свобод и законных интересов сексуальных меньшинств, притом что оскорбляющая общественную нравственность форма подачи информации, касающейся сферы сексуальных отношений, недопустима применительно к сексуальным установкам как большинства членов общества, так и тех его членов, которые придерживаются нетрадиционных предпочтений. Не должно служить препятствием для ведения подобных дискуссий и то обстоятельство, что сама по себе приверженность нетрадиционным сексуальным установкам для многих может выглядеть оскорбительной с точки зрения принятых в российском обществе норм морали или иным образом посягающей на общественную нравственность и связанные с этим права, свободы и законные интересы других лиц, поскольку в Российской Федерации в качестве важного элемента ее конституционно-правовой характеристики как правового демократического государства предполагается возможность свободного отображения в общественном дискурсе и в информационном поле различных взглядов и суждений. 12 Вместе с тем – исходя из требований статей 17 (часть 3) и 55 (часть 3) Конституции Российской Федерации – осуществление гражданами права на распространение информации, касающейся вопросов сексуального самоопределения личности, не должно нарушать права и свободы других лиц, а в правовом регулировании данного права, равно как и иных прав и свобод человека и гражданина, должен обеспечиваться баланс конституционно значимых ценностей. Следовательно, учитывая деликатность таких вопросов, как относящихся к сфере индивидуальной автономии, и не посягая на само ее существо, государство вправе вводить на основе указанных требований Конституции Российской Федерации определенные ограничения на деятельность, связанную с распространением подобной информации, если она приобретает агрессивный, навязчивый характер и способна причинить вред правам и законным интересам других лиц, прежде всего несовершеннолетних, и является оскорбительной по форме. Конституция Российской Федерации не дает оснований для признания безусловной правомерности публичной деятельности, направленной на дискредитацию, склонение к отрицанию конституционно значимых нравственных ценностей, предопределенных историческими, культурными и иными традициями многонационального народа Российской Федерации. Такой подход соотносится с предписаниями Всеобщей декларации прав человека, предусматривающей – на основе признания обязанностей человека перед обществом, в котором только и возможно свободное и полное развитие его личности, – допустимость ограничений в осуществлении прав и свобод человека законом, в том числе с целью удовлетворения справедливых требований морали (пункты 1 и 2 статьи 29), а также Конвенции о защите прав человека и основных свобод (статья 10) и Международного пакта о гражданских и политических правах (статья 19), согласно которым право свободного выражения своего мнения налагает обязанности и ответственность и может быть сопряжено с определенными 13 формальностями, условиями, ограничениями или санкциями, предусмотренными законом и необходимыми в демократическом обществе, в частности, для охраны здоровья и нравственности, защиты репутации и прав других лиц. Приведенные положения международно-правовых актов носят общий характер, в мировом же сообществе, равно как и в практике различных национальных конституционно-правовых систем, отсутствует консенсус относительно понимания пределов как самой по себе сексуальной автономии личности, так и распространения информации, касающейся сексуальных отношений, нормативного определения непристойного поведения, условий и критериев, на основе которых оно может быть признано общественно опасным и подлежит запретительному государственно-правовому воздействию. В законодательстве Российской Федерации механизмы реализации этих положений, являющихся в силу статьи 15 (часть 4) Конституции Российской Федерации составной частью правовой системы России, основаны на традиционных представлениях о гуманизме в контексте особенностей национального и конфессионального состава российского общества, его социокультурных и иных исторических характеристик, в частности на сформировавшихся в качестве общепризнанных в российском обществе (и разделяемых всеми традиционными религиозными конфессиями) представлениях о браке, семье, материнстве, отцовстве, детстве, которые получили свое формально- юридическое закрепление в Конституции Российской Федерации, и об их особой ценности. Соответственно, распространение лицом своих убеждений и предпочтений, касающихся сексуальной ориентации и конкретных форм сексуальных отношений, не должно ущемлять достоинство других лиц и ставить под сомнение общественную нравственность в ее понимании, сложившемся в российском обществе, поскольку иное противоречило бы основам правопорядка. 14 При определении конституционно допустимых пределов свободного распространения в обществе личных убеждений и предпочтений должен также учитываться установленный статьей 29 (часть 1) Конституции Российской Федерации запрет пропаганды или агитации, возбуждающих социальную, расовую, национальную или религиозную ненависть и вражду, который обязывает законодателя стремиться к тому, чтобы, действуя в рамках своих конституционных полномочий и самостоятельно оценивая состояние и тенденции развития российского общества на конкретном историческом этапе, предотвращать проявления социальной агрессии на почве демонстративного (публичного) отрицания конституционно значимых нравственных ценностей или пренебрежения ими. Правоприменители же не должны быть лишены возможности при оценке конкретной ситуации, связанной с распространением информации, касающейся сексуальных отношений (особенно если она затрагивает деликатную и неоднозначно воспринимаемую в обществе проблематику нетрадиционной сексуальной ориентации), принять меры, направленные на минимизацию или недопущение угрозы законности, правопорядку, общественной безопасности, а также жизни и здоровью граждан, включая тех, кто распространяет соответствующую информацию. Таким образом, Конституция Российской Федерации предполагает, что закрепленное ею требование уважения и охраны достоинства личности утверждается и реализуется в Российской Федерации посредством обеспечения равной для всех защиты прав и законных интересов, в том числе для тех, кто имеет нетрадиционные предпочтения в личной (включая сексуальную) жизни. Установление же пределов осуществления свободы слова и свободного распространения информации обусловлено, как указано в Определении Конституционного Суда Российской Федерации от 24 октября 2013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Конституции Российской Федерации материнство и детство, семья находятся под защитой государства; вопросы защиты семьи, материнства, отцовства и детства относятся к совместному ведению Российской Федерации и субъектов Российской Федерации (статья 38, часть 1; статья 72, пункт «ж» части 1). По смыслу названных конституционных положений, семья, материнство и детство в их традиционном, воспринятом от предков понимании представляют собой те ценности, которые обеспечивают непрерывную смену поколений, выступают условием сохранения и развития многонационального народа Российской Федерации, а потому нуждаются в особой защите со стороны государства. Соответственно, именно на основе традиционных представлений об этих ценностях в контексте особенностей национального и конфессионального состава российского общества, его социокультурных и иных исторических характеристик Российская Федерация вправе решать отдельные вопросы законодательного регулирования в сферах, затрагивающих сексуальные и связанные с ними межличностные отношения, не отрицая при этом необходимость учета требований Конституции Российской Федерации и международно-правовых актов как относительно индивидуальной автономии личности, так и относительно свободы распространения информации. Поскольку одно из предназначений семьи – рождение и воспитание детей, в основе законодательного подхода к решению вопросов демографического и социального характера в области семейных отношений в Российской Федерации лежит понимание брака как союза мужчины и 16 женщины, что в полной мере согласуется с предписаниями статей 7 и 38 Конституции Российской Федерации и не противоречит Международному пакту о гражданских и политических правах (статья 23) и Конвенции о защите прав человека и основных свобод (статья 12), предусматривающим возможность создания семьи в соответствии с национальным законодательством, регулирующим осуществление этого права. Исходя из этого и учитывая, что ни из Конституции Российской Федерации, ни из принятых на себя Российской Федерацией международно- правовых обязательств не вытекает обязанность государства по созданию условий для пропаганды, поддержки и признания союзов лиц одного пола (определения Конституционного Суда Российской Федерации от 16 ноября 2006 года Конституционным признанием ценностей семьи, материнства, отцовства, детства определяются, в частности, характер и содержание правового регулирования в сфере государственной защиты прав несовершеннолетних, которое, как указал Конституционный Суд Российской Федерации в Постановлении от 18 июля 2013 года В целях защиты прав и свобод человека и гражданина, семьи, материнства и детства, обеспечения законности, правопорядка, общественной безопасности Конституция Российской Федерации, как следует из ее статей 1 (часть 1), 15 (части 1 и 2), 38 (часть 1), 45 (часть 1), 71 (пункты «а», «в», «е», «о»), 72 (пункты «б», «е», «ж», «к» части 1) и 76 (части 1 и 2), позволяет федеральному законодателю использовать все доступные – в рамках предоставленных ему дискреционных полномочий – средства, руководствуясь при этом общими принципами юридической ответственности, которые, как неоднократно указывал Конституционный Суд Российской Федерации, имеют универсальное значение и по своей сути относятся к основам конституционного правопорядка. В сфере защиты прав и законных интересов ребенка таким средством выступает 20 административно-правовой запрет пропаганды нетрадиционных сексуальных отношений среди несовершеннолетних, введение которого призвано способствовать предотвращению негативного влияния, могущего быть оказанным на их формирование внешним информационным воздействием. В соответствии с частью 1 статьи 6.21 КоАП Российской Федерации административная ответственность за пропаганду среди несовершеннолетних нетрадиционных сексуальных отношений наступает в случае распространения информации, направленной на формирование у несовершеннолетних нетрадиционных сексуальных установок, привлекательности нетрадиционных сексуальных отношений, искаженного представления о социальной равноценности традиционных и нетрадиционных сексуальных отношений, либо навязывание информации о нетрадиционных сексуальных отношениях, вызывающей интерес к таким отношениям, если эти действия не содержат уголовно наказуемого деяния. Цель, которую преследовал федеральный законодатель при установлении данной нормы, – оградить ребенка от воздействия информации, способной подтолкнуть его к нетрадиционным сексуальным отношениям, приверженность которым препятствует выстраиванию семейных отношений, как они традиционно понимаются в России и выражены в Конституции Российской Федерации. Часть 1 статьи 6.21 КоАП Российской Федерации, как следует из ее содержания, исходит из недопустимости пропаганды среди несовершеннолетних нетрадиционных сексуальных отношений или навязывания им информации о таких отношениях любыми лицами – вне зависимости от их сексуальной ориентации. Использованный в данной норме термин «нетрадиционные сексуальные отношения», как и конструкция «искаженное представление о социальной равноценности традиционных и нетрадиционных сексуальных отношений» обусловлены лишь ее целевым назначением, не означают негативной оценки государством нетрадиционных сексуальных отношений как таковых, не направлены на умаление чести и достоинства граждан, практикующих подобные отношения. Соответственно, часть 1 статьи 6.21 КоАП Российской Федерации сама по себе и в системе действующего в Российской Федерации правового 24 регулирования не может рассматриваться как содержащая официальное порицание нетрадиционных сексуальных отношений, в частности гомосексуализма, и тем более их запрет. Иное ее истолкование, как допускающее ограничение прав и свобод человека и гражданина исключительно по признаку сексуальной ориентации, противоречило бы конституционным принципам равенства и недопущения дискриминации. Учитывая деликатный характер вопросов, касающихся сексуального самоопределения личности, неразрывно связанного с правом на частную жизнь и индивидуальную автономию как конституционными ценностями, вмешательство в которые со стороны государства должно быть минимальным, запрет на пропаганду среди несовершеннолетних нетрадиционных сексуальных отношений или навязывание им информации о таких отношениях не подлежит расширительному толкованию и его необходимо рассматривать в контексте обстоятельств, на которые сделан акцент в части 1 статьи 6.21 КоАП Российской Федерации и которыми только при таком – узконаправленном – толковании может быть оправдано отступление от общих конституционно защищаемых принципов индивидуальной автономии, невмешательства в частную жизнь и свободы слова, при условии обеспечения баланса с другими конституционными ценностями, включая защиту семьи, материнства, отцовства и детства. При этом в данной норме – принимая во внимание конструкцию статьи 6.17 КоАП Российской Федерации, устанавливающей ответственность за нарушение законодательства Российской Федерации о защите детей от информации, причиняющей вред их здоровью и (или) развитию, – сформулирован квалифицированный состав, учитывающий вероятность наступления длительных негативных последствий в судьбе несовершеннолетних как лиц, которым мог быть причинен вред предусмотренным ею административным правонарушением, чем обусловливается приемлемое с конституционной точки зрения увеличение размера санкций за его совершение. 25 Поскольку цель нормативного регулирования, установленного частью 1 статьи 6.21 КоАП Российской Федерации, заключается в недопущении или ограничении соответствующего информационного воздействия на несовершеннолетних и не предполагает автоматического запрета на распространение любой информации в области нетрадиционных сексуальных отношений, конституционно-правовая допустимость запрета на их пропаганду среди несовершеннолетних должна оцениваться исходя из характера информации, понимаемой как пропаганда, ее потенциальной аудитории (целенаправленное информационное воздействие на несовершеннолетних) и места распространения. По смыслу статьи 54 (часть 2) Конституции Российской Федерации, юридическая ответственность может наступать только за те деяния, которые законом, действующим на момент их совершения, признаются правонарушениями. Наличие состава правонарушения является необходимым основанием для всех видов юридической ответственности, при этом признаки состава правонарушения, прежде всего в публично- правовой сфере, как и содержание конкретных составов правонарушений, должны согласовываться с конституционными принципами демократического правового государства, включая требование справедливости, в его взаимоотношениях с физическими и юридическими лицами как субъектами юридической ответственности. В свою очередь, наличие вины как элемента субъективной стороны состава правонарушения – общепризнанный принцип привлечения к юридической ответственности во всех отраслях права, и всякое исключение из него должно быть выражено прямо и недвусмысленно, т.е. закреплено непосредственно в законе. Как следует из статей 49, 50, 52, 54 и 64 Конституции Российской Федерации, принципы презумпции невиновности и виновной ответственности, т.е. наличия вины как необходимого элемента состава правонарушения, выражают общие принципы права при применении 26 государственного принуждения в сфере публичной ответственности как в уголовном, так и в административном праве. Меньшая по степени общественной опасности по сравнению с преступлениями значимость административных правонарушений как особого вида публично-правовых деликтов не означает, что они могут быть исключены из сферы действия конституционного права на судебную защиту и справедливое судебное разбирательство. Соответственно, конкретизируя положения статей 17 (части 1 и 3), 46 (части 1 и 2), 49 (часть 1), 51 (часть 1), 54 (часть 2) и 55 (часть 3) Конституции Российской Федерации, Кодекс Российской Федерации об административных правонарушениях в статье 1.5 предусматривает, что лицо подлежит административной ответственности только за те административные правонарушения, в отношении которых установлена его вина (часть 1); лицо, в отношении которого ведется производство по делу об административном правонарушении, считается невиновным, пока его вина не будет доказана в порядке, предусмотренном данным Кодексом, и установлена вступившим в законную силу постановлением судьи, органа, должностного лица, рассмотревших дело (часть 2). По смыслу части 1 статьи 1.5 данного Кодекса во взаимосвязи с пунктом 2 части 1 его статьи 24.5, отсутствие вины в совершении административного правонарушения является одним из обстоятельств, исключающих производство по делу об административном правонарушении. Вина в совершении административного правонарушения устанавливается в процессе производства по делу об административном правонарушении. Приведенные правовые позиции, изложенные в ряде решений Конституционного Суда Российской Федерации (постановления от 25 января 2001 года Как неоднократно указывал</w:t>
      </w:r>
    </w:p>
    <w:p>
      <w:pPr>
        <w:pStyle w:val="Heading3"/>
      </w:pPr>
      <w:r>
        <w:rPr>
          <w:rFonts w:ascii="Times New Roman" w:hAnsi="Times New Roman" w:eastAsia="Times New Roman" w:cs="Times New Roman"/>
          <w:b/>
          <w:i w:val="0"/>
          <w:sz w:val="22"/>
        </w:rPr>
        <w:t>Пункт 4. Анализ нормы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Таким образом, часть 1 статьи 6.21 КоАП Российской Федерации не противоречит Конституции Российской Федерации, поскольку – по своему 31 конституционно-правовому смыслу в системе действующего правового регулирования – она направлена на защиту таких конституционно значимых ценностей, как семья и детство, а также на предотвращение причинения вреда здоровью несовершеннолетних, их нравственному и духовному развитию и не предполагает вмешательства в сферу индивидуальной автономии, включая сексуальное самоопределение личности, не имеет целью запрещение или официальное порицание нетрадиционных сексуальных отношений, не препятствует беспристрастному публичному обсуждению вопросов правового статуса сексуальных меньшинств, а также использованию их представителями всех не запрещенных законом способов выражения своей позиции по этим вопросам и защиты своих прав и законных интересов, включая организацию и проведение публичных мероприятий, и – имея в виду, что противоправными могут признаваться только публичные действия, целью которых является распространение информации, популяризирующей среди несовершеннолетних или навязывающей им, в том числе исходя из обстоятельств совершения данного деяния, нетрадиционные сексуальные отношения, – не допускает расширительного понимания установленного ею запрета. Соответственно, оценка конкретных действий лица как подпадающих под запрет, установленный частью 1 статьи 6.21 КоАП Российской Федерации, предполагает недопустимость формального подхода при принятии решения судами общей юрисдикции, которые должны учитывать весь комплекс фактических обстоятельств, подтверждающих или, напротив, опровергающих наличие в этих действиях признаков противоправной пропаганды или навязывания информации, направленности на недопустимую популяризацию среди несовершеннолетних нетрадиционных сексуальных отношений, а также время, место и способ распространения соответствующей информации, мотивы, которыми руководствовалось распространявшее ее лицо, в том числе с точки зрения их значения для 32 обеспечения защиты прав и законных интересов лиц, относящихся к сексуальным меньшинствам. Исходя из изложенного и руководствуясь статьями 6, 471, 71, 72, 74, 75, 78,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часть 1 статьи 6.21 КоАП Российской Федерации не противоречащей Конституции Российской Федерации, поскольку – по своему конституционно-правовому смыслу в системе действующего правового регулирования – она направлена на защиту таких конституционно значимых ценностей, как семья и детство, а также на предотвращение причинения вреда здоровью несовершеннолетних, их нравственному и духовному развитию и не предполагает вмешательства в сферу индивидуальной автономии, включая сексуальное самоопределение личности, не имеет целью запрещение или официальное порицание нетрадиционных сексуальных отношений, не препятствует беспристрастному публичному обсуждению вопросов правового статуса сексуальных меньшинств, а также использованию их представителями всех не запрещенных законом способов выражения своей позиции по этим вопросам и защиты своих прав и законных интересов, включая организацию и проведение публичных мероприятий, и – имея в виду, что противоправными могут признаваться только публичные действия, целью которых является распространение информации, популяризирующей среди несовершеннолетних или навязывающей им, в том числе исходя из обстоятельств совершения данного деяния, нетрадиционные сексуальные отношения, – не допускает расширительного понимания установленного ею запрета. 33</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силу статьи 6 Федерального конституционного закона «О Конституционном Суде Российской Федерации» конституционно-правовой смысл части 1 статьи 6.21 КоАП Российской Федерации, выявленный в настоящем Постановлении, является обязательным на всей территории Российской Федерации для всех представительных, исполнительных и судебных органов государственной власти, органов местного самоуправления, предприятий, учреждений, организаций, должностных лиц, граждан и их объединений.</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силу статьи 79 Федерального конституционного закона «О Конституционном Суде Российской Федерации» нормы, содержащиеся в иных нормативных правовых актах Российской Федерации, а также в нормативных правовых актах субъектов Российской Федерации, аналогичные части 1 статьи 6.21 КоАП Российской Федерации, подлежат применению в соответствии с ее конституционно-правовым смыслом, выявленным в настоящем Постановлении.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Граждане Алексеев Николай Александрович, Евтушенко Ярослав Николаевич и Исаков Дмитрий Алексеевич вправе воспользоваться предусмотренными действующим законодательством процедурами обжалования вынесенных по их делам судебных решений в целях проверки соблюдения судебными органами, с учетом фактических обстоятельств каждого конкретного дела, конституционно-правовых критериев применения запрета, установленного частью 1 статьи 6.21 КоАП Российской Федерации, как они определены в настоящем Постановлении.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34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