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Мулашева Артура Начиповича на нарушение его конституционных прав пунктами 1 и 3 части второй статьи 377 и пунктом 5 части первой статьи 3791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В.Г.Ярославцева, рассмотрев вопрос о возможности принятия жалобы гражданина А.Н.Мулашева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А.Н.Мулашев, которому отказано в снижении размера взыскиваемых алиментов, оспаривает конституционность пунктов 1 и 3 части второй (в жалобе ошибочно именуются пунктами 1 и 2 части третьей) статьи 377 «Порядок подачи кассационных жалобы, представления» и пункта 5 части первой статьи 3791 «Возвращение кассационных жалобы, представления без рассмотрения по существу» ГПК Российской Федерации. По мнению заявителя, оспариваемые законоположения, препятствующие подаче кассационной жалобы в Судебную коллегию по гражданским делам Верховного Суда Российской Федерации на решение 2 мирового судьи и определение суда апелляционной инстанции, если дело не было рассмотрено по существу в президиуме суда субъекта Российской Федерации, противоречат статьям 46 (части 1 и 2), 55 (часть 2) и 126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Мулашева Артура Начиповича,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