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Музыки Ирины Евгеньевны на нарушение ее конституционных прав частью 1 статьи 20.33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И.Е.Музыки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И.Е.Музыка оспаривает конституционность части 1 статьи 20.33 КоАП Российской Федерации. Данная норма предусматривает административную ответственность граждан, должностных лиц и юридических лиц за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в том числе публичные призывы к воспрепятствованию использования Вооруженных Сил Российской Федерации в указанных целях, либо на дискредитацию исполнения 2 государственными органами Российской Федерации своих полномочий за пределами территории Российской Федерации в указанных целях, а равно на дискредитацию оказания добровольческими формированиями, организациями или лицами содействия в выполнении задач, возложенных на Вооруженные Силы Российской Федерации, если эти действия не содержат признаков уголовно наказуемого деяния. Соответствующее административное правонарушение влечет наложение административного штрафа на граждан в размере от тридцати тысяч до пятидесяти тысяч рублей; на должностных лиц – от ста тысяч до двухсот тысяч рублей; на юридических лиц – от трехсот тысяч до пятисот тысяч рублей. Как следует из представленных материалов, И.Е.Музыка постановлением судьи районного суда, оставленным без изменения судьями вышестоящих судов, признана виновной в совершении административного правонарушения, предусмотренного частью 1 статьи 20.33 КоАП Российской Федерации, и ей назначен административный штраф в размере тридцати пяти тысяч рублей. По мнению заявительницы, часть 1 статьи 20.33 КоАП Российской Федерации не соответствует статьям 13 (части 1–3), 15 (часть 4), 19 (часть 2), 28, 29 (части 1, 3 и 4), 31 и 55 (части 2 и 3) Конституции Российской Федерации, поскольку предусматривает наказание за выражение критического мнения об использовании Вооруженных Сил Российской Федерации и исполнении государственными органами своих полномочий и тем самым нарушает права на свободу совести, мысли и слова, свободу собраний и запрет на установление какой-либо идеологии как государственной или обязательной, а также нарушает принцип равенства и запрет дискриминации, поскольку признает административно наказуемыми исключительно те мнения и убеждения, которые связаны с критической оценкой использования Вооруженных Сил Российской Федерации и исполнения государственными органами своих полномочий за пределами территории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не только не исключает, но и прямо допускает принятие государственными органами Российской Федерации решений и мер, в том числе связанных с использованием Вооруженных Сил Российской Федерации, для защиты интересов Российской Федерации и ее граждан, поддержания международного мира и безопасности и задает конституционные параметры для таких действий, которые конкретизируются в федеральном законодательстве (преамбула; статья 2; статья 3, часть 2; статья 4, часть 3; статья 11, часть 1; статья 67, часть 21; статья 71, пункты «к», «м»; статья 791; статья 80, часть 2; статья 83, пункты «ж», «з», «л»; статья 87; статья 102, пункт «г» части 1; статья 106, пункт «е»; статья 114, пункт «д» части 1). При этом предполагается использование Вооруженных Сил Российской Федерации именно в этих целях. Определение же целесообразности и необходимости, характера и объема использования Вооруженных Сил Российской Федерации, а равно исполнения государственными органами полномочий в указанных целях в конкретных ситуациях и обстоятельствах является прерогативой уполномоченных Конституцией Российской Федерации органов государственной власти. Также ими определяются возможность и формы оказания добровольческими формированиями, организациями или лицами содействия в выполнении задач, возложенных на Вооруженные Силы Российской Федерации. Конституция Российской Федерации, в том числе ее статьи 1, 2, 13, 15, 17–19, 21, 28, 29, 31, 55, 56, 59 и 751, не предполагает и не допускает, чтобы гарантированные ею права и свободы человека и гражданина использовались для отрицания конституционного строя Российской Федерации, в котором государство, образованное многонациональным народом Российской Федерации в определенных им параметрах, как гарант и средство обеспечения реализации и защиты прав и свобод человека и гражданина, 4 является конституционной ценностью, подлежащей уважению и защите гражданами Российской Федерации и всеми иными лицами, находящимися на территории России, а защита Отечества признается не только конституционной – юридической обязанностью, но и прежде всего долгом гражданина Российской Федерации. Как неоднократно отмечал Конституционный Суд Российской Федерации, если гражданин, осуществляя свои права и свободы (включая свободу мысли и слова, свободу творчества, право иметь и распространять убеждения и действовать сообразно с ними), в то же время нарушает права и свободы других лиц и такое нарушение (независимо от того, направлено оно против конкретных лиц или против общественного порядка в целом) носит общественно опасный и противоправный характер, то виновный может быть привлечен к публично-правовой ответственности, которая преследует цель охраны публичных интересов. При этом значение имеет не только форма выражения своих убеждений, но и способы распространения информации, а также ее содержание (определения от 25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Музыки Ирины Евгеньевны, поскольку она не отвечает требованиям Федерального конституционного закона «О Конституционном Суде Российской 9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