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компаний «Bairiki Inc.», «Instantania Holdings Ltd.» и других на нарушение их конституционных прав частью десятой статьи 31, статьями 54 и 55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компаний «Bairiki Inc.», «Instantania Holdings Ltd.»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частично удовлетворен гражданский иск и с гражданских ответчиков, включая компании «Bairiki Inc.», «Instantania Holdings Ltd.», «Kamara Ltd.» и «Trafalgar Trafhold Limited» (ранее – «Trafalgar Developments Ltd.»), взыскано солидарно в счет возмещения причиненного преступлением ущерба свыше 80 млрд руб. Рассматривая жалобы гражданских ответчиков на приговор, вышестоящие суды отвергли их доводы о незаконности и необоснованности решения по гражданскому иску. 2 Заявители просят признать не соответствующими статьям 2, 45, 46 и 37 (часть 1) Конституции Российской Федерации часть десятую статьи 31 «Подсудность уголовных дел», статьи 54 «Гражданский ответчик» и 55 «Представитель гражданского ответчика» УПК Российской Федерации, как позволяющие судам произвольно соединять исковые требования, подсудные разным судам; рассматривать исковые требования, не вытекающие из предъявленного обвинения; признавать гражданским ответчиком юридическое лицо, одновременно расценивая его имущество в качестве имущества обвиняемого; наделять гражданского истца полномочиями, предусмотренными гражданским процессуальным законодательством, одновременно лишая такого рода полномочий гражданского ответчика. Как утверждают заявители, гражданский ответчик в уголовном судопроизводстве наделен меньшими правами, чем ответчик в гражданском судопроизводстве, поскольку уголовно-процессуальный закон не предусматривает возможности приостановления исполнения приговора в части гражданского иска.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 – исходя из требований статей 46–53, 118, 120, 123 и 125–128 Конституции Российской Федерации – закрепляет способы и процедуры судебной защиты применительно к отдельным видам судопроизводства и категориям дел, учитывая особенности соответствующих материальных правоотношений, характер рассматриваемых дел, существо и значимость вводимых санкций и правовые последствия их применения; этим, однако, не исключается возможность установления в рамках того или иного вида судопроизводства особых процедур, которые должны обеспечить эффективность судебной защиты прав и свобод человека и гражданина при рассмотрении определенных категорий дел (Постановление Конституционного Суда Российской Федерации от 31 января 2011 года № 1- П). 3 Одной из таких процедур, предназначенных для защиты прав и законных интересов лиц и организаций, потерпевших от преступлений (статья 52 Конституции Российской Федерации; пункт 1 части первой статьи 6 УПК Российской Федерации), является предъявление гражданского иска: потерпевший может по своему усмотрению предъявить гражданский иск о возмещении вреда, причиненного преступлением, либо в рамках производства по уголовному делу, либо в порядке гражданского судопроизводства с учетом установленной законом подведомственности дел в суд общей юрисдикции или в арбитражный суд к лицу, обязанному возместить вред, причиненный преступлением. Гражданский иск в уголовном деле вправе предъявить потерпевший, который признается гражданским истцом, к лицам, которые в соответствии с Гражданским кодексом Российской Федерации несут ответственность за вред, причиненный преступлением, и признаются гражданскими ответчиками; он разрешается в приговоре суда по тем же правилам гражданского законодательства, что и иск в гражданском судопроизводстве, однако производство по гражданскому иску в уголовном судопроизводстве ведется по уголовно-процессуальным правилам, которые создают для потерпевшего повышенный уровень гарантий защиты его прав (Определение Конституционного Суда Российской Федерации от 4 июля 2017 года № 1442- О), что не может расцениваться в качестве ограничения процессуальных прав гражданского ответчика. В числе названных правил Уголовно-процессуальный кодекс Российской Федерации предусматривает, что подсудность гражданского иска, вытекающего из уголовного дела, определяется подсудностью уголовного дела, в котором он предъявлен (часть десятая статьи 31); гражданским истцом является лицо, предъявившее требование о возмещении имущественного вреда, при наличии оснований полагать, что данный вред причинен ему непосредственно преступлением (часть первая статьи 44); наделяет комплексом прав гражданского истца (часть четвертая статьи 44) и гражданского ответчика (часть вторая статьи 54), включая право иметь 4 представителей, которые обладают теми же процессуальными правами, что и представляемые ими лица (часть третья статьи 45 и часть вторая статьи 55). При этом непосредственность причинения вреда, как следует из части первой статьи 44 данного Кодекса, является обязательным условием и для признания физического или юридического лица гражданским истцом в уголовном деле (определения Конституционного Суда Российской Федерации от 19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компаний «Bairiki Inc.», «Instantania Holdings Ltd.»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