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Мусеибова Ульви Абдулаевича на нарушение его конституционных прав положениями части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У.А.Мусеибова,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У.А.Мусеибов оспаривает конституционность положений части 2 статьи 6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закрепляющих, что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2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указанной статьи); если участником долевого строительства является гражданин, предусмотренная данной частью неустойка (пени) уплачивается застройщиком в двойном размере. Из представленных материалов следует, что решением Замоскворецкого районного суда города Москвы от 22 июня 2022 года, оставленным без изменения судами апелляционной и кассационной инстанций (апелляционное определение судебной коллегии по гражданским делам Московского городского суда от 30 ноября 2022 года и определение судебной коллегии по гражданским делам Второго кассационного суда общей юрисдикции от 4 апреля 2023 года), удовлетворены исковые требования У.А.Мусеибова к ООО «Специализированный застройщик «Московский ипотечный центр – МИЦ» о взыскании неустойки за нарушение срока передачи объекта долевого строительства, штрафа. При этом суд признал неверным подготовленный заявителем расчет размера неустойки, подлежащей взысканию с застройщика, и произвел ее перерасчет, указав, что по смыслу части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исчислении неустойки, подлежащей взысканию с застройщика в связи с нарушением срока передачи объекта долевого строительства, подлежит применению ставка рефинансирования Центрального банка Российской Федерации, действовавшая на предусмотренный договором день исполнения застройщиком обязательства (5%), а не на дату фактической передачи объекта долевого строительства (6,75%). Определением судьи Верховного Суда Российской Федерации от 14 июля 2023 года, с которым согласился заместитель Председателя данного суда (письмо от 5 сентября 2023 года), в передаче кассационной жалобы У.А.Мусеибова для рассмотрения в судебном заседании суда кассационной инстанции отказано. 3 По мнению заявителя, оспариваемые положения части 2 статьи 6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противоречат статье 19 (часть 1) Конституции Российской Федерации, поскольку в силу неопределенности своего содержания они не позволили судам в его конкретном деле при расчете размера неустойки за нарушение закрепленного договором участия в долевом строительстве срока передачи ему объекта долевого строительства применить ставку рефинансирования Центрального банка Российской Федерации, действующую на день подписания передаточного акта. В жалобе также отмечено, что суды по своему усмотрению признают днем исполнения обязательства как день подписания передаточного акта, так и последний день срока исполнения обязательства по передаче объекта долевого строительства, предусмотренного договором, что ставит участников долевого строительства в неравное положение.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19 (часть 1) Конституции Российской Федерации все равны перед законом и судом. Данный конституционный принцип носит универсальный характер и оказывает регулирующее воздействие на все сферы общественных отношений, в том числе на отношения с участием граждан и юридических лиц (абзац второй пункта 1 статьи 2 ГК Российской Федерации). Федеральный законодатель, реализуя предоставленные ему Конституцией Российской Федерации (статья 71, пункт «о»; статья 72, пункт «к» части 1; статья 76, части 1 и 2) полномочия и действуя в пределах предоставленной ему дискреции, урегулировал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в Федеральном законе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Указанный Федеральный закон устанавливает и гарантии защиты прав, законных интересов и имущества участников долевого строительства (часть 1 статьи 1). Так, в частности, согласно положениям части 2 статьи 6 названного Федерального закона в случае нарушения предусмотренного 5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данной частью неустойка (пени) уплачивается застройщиком в двойном размере. Приведенные нормы направлены – с учетом особенностей регулирования соответствующих отношений – на защиту прав участников долевого строительства в случаях несоблюдения застройщиком условий договора участия в долевом строительстве, касающихся срока передачи участникам долевого строительства объекта долевого строительства (определения Конституционного Суда Российской Федерации от 17 июля 2018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751 Конституции Российской Федерации закрепляет, что в Российской Федерации создаются условия для повышения благосостояния граждан,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 Сообразно этому законодательное регулирование в силу конституционных принципов правового государства, верховенства закона и юридического равенства должно отвечать требованиям ясности и непротиворечивости, а механизм его действия должен быть понятен субъектам правоотношений из содержания нормы или системы норм, находящихся в очевидной взаимосвязи, поскольку конституционное равноправие может быть обеспечено лишь при единообразном понимании нормы всеми правоприменителями (постановления Конституционного Суда Российской 6 Федерации от 27 июня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Мусеибова Ульви Абдулаевича, поскольку она не отвечает требованиям Федерального конституционного закона «О Конституционном Суде Российской 8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