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2634-О/2024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октября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Ткачук Марины Анатольевны на нарушение ее конституционных прав частью 2 статьи 1, частью 1 статьи 20 и частью 1 статьи 218 Кодекса административного судопроизводства Российской Федерации, а также положениями статей 10 и 26 Федерального закона «Об органах судейского сообщества в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заслушав заключение судьи Л.М.Жарковой, проводившей на основании статьи 41 Федерального конституционного закона «О Конституционном Суде Российской Федерации» предварительное изучение жалобы гражданки М.А.Ткачук,</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Статья 46 (части 1 и 2) Конституции Российской Федерации, гарантируя каждому судебную защиту его прав и свобод, устанавливает, что в суд могут быть обжалованы решения и действия (или бездействие) органов государственной власти, органов местного самоуправления, общественных объединений и должностных лиц. Федеральный закон «Об органах судейского сообщества в Российской Федерации» не содержит положений, непосредственно предусматривающих обжалование в суд решений советов судей субъектов Российской Федерации. Согласно его статье 26 в судебном порядке может быть обжаловано решение, принятое квалификационной коллегией судей. До введения в правовое регулирование названной нормы</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Ткачук Марины Анатольевны, поскольку она не отвечает требованиям Федерального конституционного закона «О Конституционном Суде Российской 8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