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Бурханова Вадима Сергеевича, Быкова Алексея Николаевича, Васильева Михаила Геннадьевича и других на нарушение их конституционных прав подпунктом 23 пункта 1 статьи 2 Федерального закона «О рынке ценных бумаг», пунктами 6 и 14 части 3 статьи 4, частью 4 статьи 18, частью 7 статьи 22 Федерального закона «Об организованных торгах»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В.С.Бурханова, А.Н.Быкова, М.Г.Васильева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В.С.Бурханов, А.Н.Быков, М.Г.Васильев, М.В.Васильева, С.С.Ворошилов, Р.А.Гурьянов, Р.Е.Давыдов, А.А.Двойченков, Е.А.Дружбина, Д.В.Ершов, Е.Е.Житомирский, Д.С.Зыкин, А.Н.Ильин, О.Е.Ильин, М.Б.Казиев, П.А.Каптюшин, В.А.Колчин, А.В.Комаров, И.А.Коровин, П.И.Кочергин, Д.Ю.Кузнецов, Е.П.Логинов, А.А.Обидин, В.В.Погонин, А.А.Приоров, П.В.Рябов, С.Н.Свешников, А.В.Сизиков, А.В.Соколовский, Е.Н.Сурин, Р.В.Тазеев, 2 А.В.Ульянов, П.В.Энговатов, И.А.Юртайкин оспаривают конституционность подпункта 23 пункта 1 статьи 2 Федерального закона от 22 апреля 1996 года № 39-ФЗ «О рынке ценных бумаг», определяющего производный финансовый инструмент как договор (за исключением договора репо, а также опционного договора, заключенного с физическим лицом в связи с исполнением им трудовых обязанностей на основании трудового договора или в связи с участием физического лица в органах управления хозяйственного общества), предусматривающий одну или несколько обязанностей из числа названных в данном подпункте. Заявители также оспаривают конституционность следующих положений Федерального закона от 21 ноября 2011 года № 325-ФЗ «Об организованных торгах»: часть 3 статьи 4, предписывающую, в частности, что в правилах организованных торгов должны содержаться: основания и порядок начала, приостановления или прекращения заключения договоров, являющихся производными финансовыми инструментами, договоров репо (пункт 6), указание случаев и порядок приостановки, прекращения и возобновления организованных торгов (пункт 14); часть 4 статьи 18, устанавливающую, что условия договора, заключаемого на организованных торгах, должны содержаться в заявках, правилах организованных торгов, и (или) спецификациях договоров, и (или) правилах клиринга соответствующей клиринговой организации либо определяться в соответствии с указанными документами, а в случаях, предусмотренных правилами организованных торгов, могут содержаться в примерных условиях договоров, утвержденных саморегулируемой организацией профессиональных участников рынка ценных бумаг и зарегистрированных в Банке России; часть 7 статьи 22 о том, что организатор торговли несет ответственность за убытки, возникшие в связи с использованием недостоверной и (или) неполной информации, раскрытой (предоставленной) организатором торговли, если использование такой 3 информации обязательно в силу федеральных законов и принятых в соответствии с ними нормативных актов или договора. Из представленных материалов следует, что решением арбитражного суда, с которым согласились суды вышестоящих инстанций, отказано в удовлетворении исковых требований гражданина К., действующего в интересах группы лиц (в том числе заявителей), к небанковской кредитной организации – центральный контрагент «Национальный Клиринговый Центр» (акционерное общество) о признании недействительной экспирации (исполнения) 21 апреля 2020 года фьючерса CL-4.20 на нефть марки Light Sweet Crude Oil по отрицательной цене (минус 37.63 доллара США за баррель), применении последствий недействительности указанной сделки в форме восстановления положения, существовавшего до ее совершения, путем возврата истцу и заинтересованным лицам сумм, списанных с их брокерских счетов в результате расчета вариационной маржи по контрактам, на такой брокерский счет (брокерские счета). Арбитражный суд, в числе прочего, пришел к выводу о недоказанности истцами обстоятельств, на которые они ссылаются в обоснование своей позиции по иску, а также указал, что действия ответчика были правомерными и добросовестными, поэтому не могут находиться в причинно-следственной связи с экономическими потерями истцов. По мнению заявителей, подпункт 23 пункта 1 статьи 2 Федерального закона «О рынке ценных бумаг» во взаимосвязи с частью 4 статьи 18 Федерального закона «Об организованных торгах» не соответствуют статьям 1, 2 и 6 Конституции Российской Федерации в той мере, в какой они по смыслу, придаваемому им правоприменительной практикой, допускают возможность произвольного установления биржей цены исполнения фьючерсного контракта не на основании цены согласованного сторонами базисного актива, соответствующего требованиям законодательства, а на основании расчетной цены иного базисного актива – иностранного фьючерсного контракта, не квалифицированного в 4 установленном порядке, что нарушает принцип правовой определенности; пункты 6 и 14 части 3 статьи 4 Федерального закона «Об организованных торгах» не соответствуют статьям 8, 22, 34 и 55 Конституции Российской Федерации в той мере, в какой они по смыслу, придаваемому им правоприменительной практикой, допускают возможность произвольного ограничения принципа свободы договора локальными актами организатора торгов; часть 4 статьи 18 во взаимосвязи с частью 7 статьи 22 Федерального закона «Об организованных торгах» не соответствуют статьям 8 и 34 Конституции Российской Федерации в той мере, в какой они по смыслу, придаваемому им правоприменительной практикой, создают существенный дисбаланс правомочий в рамках гражданско- правовых отношений, поскольку наделяют организатора торгов чрезмерными полномочиями и одновременно ограничивают его гражданско-правовую ответственность.</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Подпункт 23 пункта 1 статьи 2 Федерального закона «О рынке ценных бумаг», содержащий понятие производного финансового инструмента, является нормой-дефиницией, направленной на конкретизацию правового регулирования отношений на рынке ценных бумаг. Часть 4 статьи 18 Федерального закона «Об организованных торгах» определяет особенности закрепления условий договора, заключаемого на организованных торгах, с учетом специфики соответствующих отношений. Названные законоположения ни сами по себе, ни в их взаимосвязи не могут – в том числе с учетом положений статьи 428 Гражданского кодекса Российской Федерации о договоре присоединения – расцениваться как нарушающие в указанном в жалобе аспекте конституционные права заявителей, доводы которых свидетельствуют о том, что, обращаясь с жалобой на нарушение конституционных прав, они, по существу, 5 предлагают Конституционному Суду Российской Федерации оценить обоснованность соответствующих судебных постановлений. Между тем проверка фактических обстоятельств конкретного дела и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пунктов 6 и 14 части 3 статьи 4, части 7 статьи 22 Федерального закона «Об организованных торгах» в конкретном деле с участием заявителей.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Бурханова Вадима Сергеевича, Быкова Алексея Николаевича, Васильева Михаила Геннадьевича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