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553-О/2024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Поповича Сергея Викторовича на нарушение его конституционных прав частью 2 статьи 6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Л.О.Красавчиковой,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гражданина С.В.Поповича,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С.В.Попович оспаривает конституционность части 2 статьи 6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закрепляющей, в частности, что в случае нарушения предусмотренного договором срока передачи участнику долевого строительства объекта долевого строительства застройщик 2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(за исключением случая, установленного частью 21 указанной статьи); если участником долевого строительства является гражданин, предусмотренная данной частью неустойка (пени) уплачивается застройщиком в двойном размере. Как следует из представленных материалов, решением Ленинградского районного суда города Калининграда от 6 июля 2022 года были частично удовлетворены исковые требования С.В.Поповича к АО «Специализированный застройщик «Акфен»: с ответчика в числе прочего была взыскана неустойка за нарушение срока передачи объекта долевого строительства – квартиры (220 000 руб.). Апелляционным определением судебной коллегии по гражданским делам Калининградского областного суда от 26 октября 2022 года и определением судебной коллегии по гражданским делам Третьего кассационного суда общей юрисдикции от 25 января 2023 года названное решение суда первой инстанции в указанной части оставлено без изменения. При этом суд, придя к выводу о том, что при исчислении размера неустойки, подлежащей взысканию с застройщика в связи с нарушением срока передачи объекта долевого строительства, подлежит применению ставка рефинансирования Центрального банка Российской Федерации, действовавшая на предусмотренный договором день исполнения застройщиком обязательства, а не на дату фактической передачи упомянутого объекта долевого строительства, произвел перерасчет неустойки. Определением судьи Верховного Суда Российской Федерации от 21 апреля 2023 года, с которым согласился заместитель Председателя данного суда (письмо от 24 июля 2023 года), в передаче кассационной жалобы С.В.Поповича для рассмотрения в судебном заседании суда кассационной инстанции отказано. 3 По мнению заявителя, часть 2 статьи 6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соответствует Конституции Российской Федерации, ее статьям 15 (части 1 и 2), 34 (часть 1), 35 (часть 1), 45 (часть 1), 46 и 120 (часть 2), поскольку содержащиеся в ней положения по смыслу, придаваемому им правоприменительной практикой, позволяют при расчете размера неустойки (пени) за нарушение предусмотренного договором срока передачи участнику долевого строительства объекта долевого строительства применять ставку рефинансирования Центрального банка Российской Федерации, действующую на дату исполнения обязательства, которая предусмотрена условиями гражданско-правового договора, а не на дату фактического исполнения обязательства.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закрепляет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охрану частной собственности законом (статья 35, часть 1). Федеральный законодатель, реализуя предоставленные ему Конституцией Российской Федерации (статья 71, пункт «о»; статья 72, пункт «к» части 1; статья 76, части 1 и 2) полномочия и действуя в пределах предоставленной ему дискреции, урегулировал отношения, связанные с привлечением денежных средств граждан и юридических лиц для долевого строительства многоквартирных домов и (или) иных объектов недвижимости, в Федеральном законе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Указанный Федеральный закон устанавливает и гарантии защиты прав, законных интересов и имущества участников долевого строительства (часть 1 статьи 1). Так, в частности, согласно положениям части 2 статьи 6 названного Федерального закона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5 цены договора за каждый день просрочки; если участником долевого строительства является гражданин, предусмотренная данной частью неустойка (пени) уплачивается застройщиком в двойном размере. Приведенные нормы направлены – с учетом особенностей регулирования соответствующих отношений – на защиту прав участников долевого строительства в случаях несоблюдения застройщиком условий договора участия в долевом строительстве, касающихся срока передачи участникам долевого строительства объекта долевого строительства (определения Конституционного Суда Российской Федерации от 17 июля 2018 года № 1879- О, от 28 февраля 2019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751 Конституции Российской Федерации закрепляет, что в Российской Федерации создаются условия для повышения благосостояния граждан, взаимного доверия государства и общества, гарантируются защита достоинства граждан и уважение человека труда, обеспечиваются сбалансированность прав и обязанностей гражданина, социальное партнерство, экономическая, политическая и социальная солидарность. Сообразно этому законодательное регулирование в силу конституционных принципов правового государства, верховенства закона и юридического равенства должно отвечать требованиям ясности и непротиворечивости, а механизм его действия должен быть понятен субъектам правоотношений из содержания нормы или системы норм, находящихся в очевидной взаимосвязи, поскольку конституционное равноправие может быть обеспечено лишь при единообразном понимании нормы всеми правоприменителями (постановления Конституционного Суда Российской Федерации от 27 июня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Поповича Сергея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