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Грибковой Нины Олеговны на нарушение ее конституционных прав частями первой и второй статьи 135, а также статьей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Н.О.Грибковой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Н.О.Грибкова оспаривает конституционность следующих норм Трудового кодекса Российской Федерации: части первой статьи 135, предусматривающей, что заработная плата работнику устанавливается трудовым договором в соответствии с действующими у данного работодателя системами оплаты труда, а также части второй данной статьи,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2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191 (в жалобе указана часть вторая данной статьи, однако в тексте при изложении позиции приводится содержание этой нормы полностью), закрепляющей,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 (часть первая); 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дисциплине; за особые трудовые заслуги перед обществом и государством работники могут быть представлены к государственным наградам (часть вторая). По мнению заявительницы, воспитателя муниципального дошкольного образовательного учреждения, заработная плата которой включает в том числе выплаты, исчисляемые на основании показателей и критериев оценки эффективности деятельности (эффективный контракт), оспариваемые положения не соответствуют статьям 19 (части 1 и 2), 37 (часть 3), 55 (часть 3), 75 (часть 5) и 751 Конституции Российской Федерации в той мере, в какой они позволяют работодателю: произвольно устанавливать правила исчисления отдельных выплат, входящих в состав заработной платы, и тем самым без учета количества и качества затраченного труда, а также иных объективных критериев уменьшать размер заработной платы работника путем включения в локальные нормативные акты показателей эффективности в виде выполнения видов работ, которые не существуют и выполнение которых невозможно в течение рабочего времени, выходят за пределы должностных обязанностей работника и объективная оценка которых невозможна; 3 не учитывать при оплате труда выполнение работником видов работ, не входящих непосредственно в должностные обязанности работника; формировать комиссию для оценки выполнения работником показателей эффективности из работников, не имеющих специального (педагогического) образования; произвольно распоряжаться фондом оплаты труда; начислять заработную плату на основании критериев эффективности без учета наличия у работника рабочего времени, необходимого для выполнения определенных видов работ. Кроме того, заявительница указывает на противоречие оспариваемых норм частям первой и второй статьи 3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(статья 129), устанавливается в трудовом договоре в соответствии с действующими у данного работодателя системами оплаты труда (часть первая статьи 135), которые в соответствии с частью второй данной статьи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Системы оплаты труда работников муниципальных учреждений также устанавливаются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 и 4 нормативными правовыми актами органов местного самоуправления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стандартов, а также с учетом государственных гарантий по оплате труда, рекомендаций Российской трехсторонней комиссии по регулированию социально-трудовых отношений и мнения соответствующих профсоюзов (объединений профсоюзов) и объединений работодателей (части первая и пятая статьи 144 Трудового кодекса Российской Федерации). Как неоднократно указывал Конституционный Суд Российской Федерации, при установлении системы оплаты труда работодатель должен гарантировать каждому работнику определение его заработной платы с учетом закрепленных в законодательстве критериев, вводить обоснованную дифференциацию оплаты труда и учитывать, что выплаты компенсационного характера призваны компенсировать влияние на работника неблагоприятных производственных факторов, а стимулирующие выплаты должны выполнять функцию побуждения работника к высокопроизводительному труду, повышению эффективности трудовой деятельности (определения от 1 октября 2009 года Статья 191 Трудового кодекса Российской Федерации предоставляет работодателю право поощрять работника за добросовестный и эффективный труд, в том числе путем выдачи премии. Такая премия в соответствии с буквальным смыслом указанной нормы является одним из видов поощрения, применение которого относится к дискреции работодателя. Оспариваемая норма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Грибковой Нины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