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гаражного кооператива «Станкоремонт-2» на нарушение его конституционных прав пунктом 1 статьи 15, пунктом 2 статьи 209 Гражданского кодекса Российской Федерации, абзацем третьим пункта 4 статьи 26 Федерального закона «Об электроэнергетике», абзацем первым пункта 6 Правил недискриминационного доступа к услугам по передаче электрической энергии и оказания этих услуг, абзацем первым пункта 2 Правил вывода объектов электроэнергетики в ремонт и из эксплуатации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гаражного кооператива «Станкоремонт-2»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Гаражный кооператив «Станкоремонт-2» (далее также – ГК «Станкоремонт-2», кооператив) оспаривает конституционность следующих положений: пункта 1 статьи 15 ГК Российской Федерации, согласно которому лицо, право которого нарушено, может требовать полного возмещения 2 причиненных ему убытков, если законом или договором не предусмотрено возмещение убытков в меньшем размере; пункта 2 статьи 209 того же Кодекса, наделяющего собственника правом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абзаца третьего пункта 4 статьи 26 Федерального закона от 26 марта 2003 года № 35-ФЗ «Об электроэнергетике», закрепляющего, что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порядке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3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 абзаца первого пункта 6 Правил недискриминационного доступа к услугам по передаче электрической энергии и оказания этих услуг (утверждены Постановлением Правительства Российской Федерации от 27 декабря 2004 года № 861) о том, что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абзаца первого пункта 2 Правил вывода объектов электроэнергетики в ремонт и из эксплуатации (утверждены Постановлением Правительства Российской Федерации от 26 июля 2007 года № 484, утратили силу в связи с изданием Постановления Правительства Российской Федерации от 30 января 2021 года № 86), согласно которому вывод в ремонт и из эксплуатации объектов по производству электрической энергии и объектов электросетевого хозяйства, не указанных в пункте 1 данных Правил, осуществляется собственниками или иными законными владельцами таких объектов самостоятельно, если иное не предусмотрено договорами с другими организациями, имеющими технологическое присоединение к данным объектам электросетевого хозяйства или объектам по производству электрической энергии. Как следует из представленных материалов, принятым при новом рассмотрении дела определением суда апелляционной инстанции, с которым согласились суды вышестоящих инстанций, решение суда первой инстанции изменено, частично удовлетворены исковые требования ГК «Станкоремонт-2» о взыскании с гражданина А. убытков в виде расходов на оплату полученной электроэнергии по временной схеме (по сравнению 4 с оплатой по ранее заключенному договору энергоснабжения с гарантирующим поставщиком по регулируемым ценам (тарифам), причиненных кооперативу в том числе вследствие вывода из эксплуатации и сноса принадлежащего ответчику объекта электросетевого хозяйства (трансформаторной подстанции). Убытки взысканы по день исключения объекта недвижимости из государственного реестра, во взыскании убытков за последующие периоды отказано. По мнению заявителя, оспариваемые положения не соответствуют статьям 1 (часть 1), 4 (часть 2), 15 (части 1 и 2), 17 (часть 3), 19 (части 1 и 2), 35 (часть 1), 45, 46 (части 1 и 2), 52, 55 (часть 3), 118 (часть 1) и 128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собственникам объекта электросетевого хозяйства (установленная мощность которого составляет менее 5 МВт), по своему усмотрению производить демонтаж такого объекта, при этом не предполагают обязанности указанных собственников возместить причиненные такими действиями убытки потребителям, опосредованно подключенным через названный объект к электрическим сетям сетевой организации, несмотря на наличие вступившего в законную силу решения суда о возложении на собственника объекта электросетевого хозяйства обязанности произвести его ремонт для восстановления перетока электрической энергии опосредованно подключенным потребителям.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15 ГК Российской Федерации имеет целью обеспечить полное возмещение убытков по требованию лица, право которого нарушено, и тем самым реализацию закрепленного в статье 35 (часть 1) Конституции Российской Федерации принципа охраны права частной собственности законом. 5 Конституционный Суд Российской Федерации отмечал, что обязанность возместить причиненный вред – мера гражданско-правовой ответственности, которая применяется к причинителю вреда при наличии состава правонарушения, включающего, как правило, наступление вреда, противоправность поведения причинителя вреда, причинную связь между этим поведением и наступлением вреда, а также его вину (постановления от 5 марта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гаражного кооператива «Станкоремонт-2»,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