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Хребтова Никиты Алексеевича на нарушение его конституционных прав частью первой1 статьи 108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Н.А.Хребтова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Н.А.Хребтов, обвиняемый в совершении преступлений, предусмотренных частью первой статьи 1701, а также частью третьей статьи 30 и частью четвертой статьи 159 УК Российской Федерации, в отношении которого применялась мера пресечения в виде заключения под стражу, просит признать не соответствующей статье 55 (часть 3) Конституции Российской Федерации часть первую1 статьи 108 «Заключение под стражу» УПК Российской Федерации в той мере, в какой она в силу неопределенности нормативного содержания порождает на практике неоднозначное истолкование и, соответственно, возможность произвольного применения, допуская 2 применение меры пресечения в виде заключения под стражу вопреки содержащимся в этой норме исключениям. Постановлением судьи Верховного Суда Российской Федерации от 25 января 2023 года отказано в передаче для рассмотрения в судебном заседании суда кассационной инстанции поданной в интересах заявителя жалобы об оспаривании постановления районного суда о продлении срока содержания под стражей и оставившего его без изменения апелляционного постановления. При этом указано на отсутствие обстоятельств, подтверждающих, что деяние, в совершении которого обвиняется Н.А.Хребтов, связано с предпринимательской деятельностью.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Хребтова Никиты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