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1425-О/2024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Сухаревой Татьяны Викторовны на нарушение ее конституционных прав частью четвертой статьи 159 Уголовного кодекса Российской Федерации и частью 2 статьи 7.27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Т.В.Сухаревой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(оставленным без изменения вышестоящими судами) гражданка Т.В.Сухарева признана виновной в совершении в составе организованной группы мошенничеств, которые причинили ущерб трем потерпевшим в размере 238 000, 10 000 и 2 000 рублей соответственно. В связи с этим Т.В.Сухарева утверждает, что часть четвертая статьи 159 «Мошенничество» УК Российской Федерации и часть 2 статьи 7.27 «Мелкое хищение» КоАП Российской Федерации не соответствуют статьям 1 (часть 1), 2, 15 (часть 4), 17 (части 1 и 3), 18, 19 (части 1 и 2) и 55 (часть 3) 2 Конституции Российской Федерации в той мере, в какой они допускают возможность квалифицировать как тяжкое преступление мошеннические действия, не причинившие ущерба в размере, который является необходимым (криминообразующим) признаком, либо повлекшие незначительный ущерб, позволяя назначать за такие деяния лишение свободы, что является несоразмерным их общественной опасности. Кроме того, заявительница связывает неконституционность оспариваемых законоположений с тем, что они, по ее мнению, не обеспечивают защиту прав человека, допускают их необоснованное и длительное ограничение, в том числе в части сроков давности и правовых последствий судимости, предусматривают различную правовую оценку (квалификацию) действий, причинивших равный (сопоставимый) ущерб, но отличающихся лишь по способу совершения хищения (его внешнему оформлению или проявлению), а также допускают возложение на правонарушителя избыточной ответственности лишь ввиду совершения мошенничества организованной группой (которое считается тяжким преступлением), притом что такое же по размеру деяние в сфере предпринимательской деятельности в настоящее время декриминализовано (не образует признаков состава преступления).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указал Конституционный Суд Российской Федерации, разрешение вопроса о размере санкций за преступления является прерогативой федерального законодателя, который, принимая решение о криминализации деяния, обязан учитывать типовую оценку его общественной опасности и, если отдельные признаки преступления (тяжесть содеянного, размер и характер причиненного ущерба, степень вины правонарушителя и иные существенные факторы, влияющие на индивидуализацию уголовного принуждения) свидетельствуют о том, что степень его общественной опасности существенно изменяется по 3 сравнению с типовой оценкой, провести дифференциацию уголовной ответственности (постановления от 11 декабря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Сухаревой Татьяны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