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910459-О/2026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Черкесовой Нины Анатольевны на нарушение ее конституционных прав статьей 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Н.А.Черкесовой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Н.А.Черкесова оспаривает конституционность статьи 56 «Обязанность доказывания»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Н.А.Черкесовой отказано в иске к обществу с ограниченной ответственности, к его генеральному директору и учредителю о взыскании задолженности по обязательствам общества в порядке субсидиарной ответственности. Суды исходили в том числе из отсутствия совокупности доказательств для привлечения ответчиков к субсидиарной ответственности по возмещению истцу убытков, а также из того, что долги общества перед кредитором возникли 2 из-за неразумности и недобросовестности ответчиков.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заявительницы, оспариваемое законоположение противоречит статьям 17 (часть 3), 55 (часть 3) и 123 (часть 3) Конституции Российской Федерации, поскольку по смыслу, придаваемому ему правоприменительной практикой, предоставляет суду в противоречии с правовой позицией Конституционного Суда Российской Федерации, сформулированной в Постановлении Конституционного Суда Российской Федерации от 21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Черкесовой Нины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