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«Карьер-ДВ» на нарушение его конституционных прав пунктом 1 статьи 15 и статьей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«Карьер-ДВ»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«Карьер-ДВ» (далее также – ООО «Карьер-ДВ») оспаривает конституционность пункта 1 статьи 15 «Возмещение убытков» и статьи 1064 «Общие основания ответственности за причинение вреда» ГК Российской Федерации. Из представленных материалов следует, что решением арбитражного суда первой инстанции, с которым согласились вышестоящие суды, с ООО «Карьер-ДВ» взыскано возмещение вреда, причиненного окружающей среде. Судами установлено, в частности, что ООО «Карьер-ДВ» на протяжении нескольких лет осуществлялась самовольная разработка месторождения полезных ископаемых на участке недр, право пользования в отношении которого ему предоставлено не было. 2 По мнению заявителя, оспариваемые законоположения противоречат ряду статей Конституции Российской Федерации, поскольку позволяют взыскивать в пользу публично-правового образования возмещение вреда без учета того факта, что причинителю вреда впоследствии выдана лицензия на право добычи полезных ископаемых на спорном участке недр, а также без исследования наличия причинной связи и без оценки действий публично- правового образования.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«Карьер-ДВ»,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