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Грачева Родиона Геннадьевича на нарушение его конституционных прав частью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 гражданина Р.Г.Грачева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Р.Г.Грачев оспаривает конституционность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судами первой и апелляционной инстанций Р.Г.Грачеву было отказано в пересмотре судебных постановлений по новым обстоятельствам, в качестве которых заявитель указывал принятие Конституционным Судом Российской Федерации Постановления от 13 июля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Пункт 3 части четвертой статьи 392 ГПК Российской Федерации относит к новым обстоятельствам, влекущим за собой пересмотр вступившего в законную силу судебного постановления,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от 21 июля 1994 года № 1-ФКЗ «О Конституционном Суде Российской Федерации», в связи с обращением иного лица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Грачева Родиона Геннадьевича,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