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910458-П/2026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Крикуна Владимира Григорьевича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 гражданина В.Г.Крикуна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В.Г.Крикун, которому судами общей юрисдикции было отказано в удовлетворении исковых требований о взыскании компенсации морального вреда, просит признать противоречащей Конституции Российской Федерации практику принятия судебных постановлений, в том числе в незаконном составе суда, после единоличного рассмотрения дела судьей, а не судом Российской Федерации, от имени которого было вынесено судебное постановление, без дословного указания мотивов апелляционных и кассационных жалоб.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Крикуна Владимира Григорьевича, поскольку разрешение поставленных заявителем вопросов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