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Хайчук Натальи Олеговны на нарушение конституционных прав ее несовершеннолетних детей подпунктом 3 пункта 4 и пунктом 5 статьи 6110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Н.О.Хайчук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Н.О.Хайчук, действующая в интересах своих несовершеннолетних детей, оспаривает конституционность положений статьи 6110 Федерального закона от 26 октября 2002 года № 127-ФЗ «О несостоятельности (банкротстве)», согласно которым, пока не доказано иное, предполагается, что лицо являлось контролирующим должника лицом, если это лицо извлекало выгоду из незаконного или недобросовестного поведения лиц, указанных в пункте 1 статьи 531 ГК Российской Федерации (подпункт 3 пункта 4); арбитражный суд может признать лицо контролирующим должника лицом по иным основаниям (пункт 5). 2 Как следует из представленных материалов, в деле о банкротстве общества с ограниченной ответственностью арбитражный суд, установив факт дарения контролирующим должника лицом – гражданином Х. (супругом заявительницы) в пользу своих детей квартиры, – притом что данный факт имел место после признания должника банкротом и после возбуждения производства по обособленному спору о привлечении Х. к субсидиарной ответственности по обязательствам должника, впоследствии завершившегося его привлечением к данной ответственности, – пришел к выводу о наличии оснований для привлечения одаряемых, от лица которых в указанных отношениях действовал их законный представитель – Н.О.Хайчук, солидарно с Х. к деликтной ответственности (в размере стоимости перешедшего к ним имущества) за причинение вреда кредиторам должника, выразившегося в создании невозможности удовлетворения требований кредиторов контролирующим должника лицом. Соответствующее определение оставлено судами вышестоящих инстанций без изменения. Суды руководствовались позицией, согласно которой лицо, умышленными действиями которого создана невозможность получения кредиторами полного удовлетворения за счет имущества контролирующего должника лица, виновного в его банкротстве, отвечает солидарно с указанным контролирующим лицом за причиненные кредиторам убытки в пределах стоимости полученного имущества (пункт 23 Обзора судебной практики Верховного Суда Российской Федерации № 1 (2020), утвержденного Президиумом Верховного Суда Российской Федерации 10 июня 2020 года), и исходили из того, что Х. и заявительница, достоверно знавшие о противоправной цели сделки по отчуждению квартиры, умышленно использовали для сокрытия имущества от обращения на него взыскания своих несовершеннолетних детей; причиненный вред подлежит возмещению действовавшим от их лица родителем (Н.О.Хайчук).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 3 По мнению Н.О.Хайчук, оспариваемые нормы противоречат Конституции Российской Федерации, в частности ее статьям 38 (часть 1), 40 (часть 1) и 671 (часть 4), в той мере, в какой по смыслу, придаваемому им судебной практикой, в силу присущей им неопределенности позволяют судам присваивать малолетним детям, которые не могли участвовать в деятельности, повлекшей банкротство юридического лица, статус контролирующего должника лица и привлекать их к субсидиарной ответственности по его обязательствам.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Хайчук Натальи Олеговны, поскольку она не отвечает требованиям Федерального конституционного закона «О Конституционном Суде Российской 6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