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588-О/2024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товарищества собственников жилья «Виктория» на нарушение его конституционных прав частью 101 статьи 161 Жилищного кодекса Российской Федерации, частью 2 статьи 4, частью 3 статьи 5 и пунктом 1 части 3 статьи 9 Федерального закона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а также подпунктом «а» пункта 3 Правил присвоения, изменения и аннулирования адресов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товарищества собственников жилья «Виктория»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«Виктория» (далее также – ТСЖ «Виктория», Товарищество) оспаривает конституционность следующих положений: части 101 статьи 161 Жилищного кодекса Российской Федерации, устанавливающей обязанность управляющей организации обеспечить свободный доступ к информации об основных показателях ее финансово- 2 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предоставляемые коммунальные услуги посредством ее размещения в государственной информационной системе жилищно- коммунального хозяйства; части 2 статьи 4, части 3 статьи 5 и пункта 1 части 3 статьи 9 Федерального закона от 28 декабря 2013 года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предусматривающих, что органы местного самоуправления обеспечивают достоверность, полноту и актуальность содержащихся в государственном адресном реестре сведений об адресах; присваивают адреса объектам адресации, изменяют адреса объектов адресации, аннулируют их в соответствии с установленными Правительством Российской Федерации правилами присвоения, изменения, аннулирования адресов; размещают сведения об адресах в государственном адресном реестре в соответствии с порядком ведения государственного адресного реестра и в сроки, определенные установленными Правительством Российской Федерации правилами присвоения, изменения, аннулирования адресов; обязаны в соответствии с установленным Правительством Российской Федерации порядком межведомственного информационного взаимодействия при ведении государственного адресного реестра проверить достоверность, полноту и актуальность содержащихся в государственном адресном реестре сведений об адресах и при необходимости внести изменения в указанные сведения; подпункта «а» пункта 3 Правил присвоения, изменения и аннулирования адресов (утверждены Постановлением Правительства Российской Федерации от 19 ноября 2014 года № 1221), предусматривающего, что адрес, присвоенный объекту адресации, должен отвечать требованию уникальности; один и тот же адрес не может быть присвоен более чем одному объекту адресации, за исключением случаев повторного присвоения одного и того же адреса новому 3 объекту адресации взамен аннулированного адреса объекта адресации, а также присвоения адреса с аналогичной номерной частью земельному участку и расположенному на нем зданию (строению), сооружению. Как следует из представленных материалов, решением суда общей юрисдикции, с которым согласились вышестоящие суды, ТСЖ «Виктория» было отказано в удовлетворении административного искового заявления о признании незаконным бездействия органов местного самоуправления, выразившегося в неисполнении обязанностей по ведению государственного адресного реестра, и о возложении обязанности внести изменения в этот реестр. В обоснование своих требований ТСЖ «Виктория» указывало на то, что присвоенный многоквартирному дому, управление которым осуществляет Товарищество, адрес был также присвоен построенному позднее другому многоквартирному дому, управление которым осуществляет иная управляющая организация (управляющая компания); поскольку сведения об управлении многоквартирным домом с названным адресом были внесены в государственную информационную систему жилищно-коммунального хозяйства (далее – система) указанной управляющей компанией, ТСЖ «Виктория» лишено возможности исполнить возложенную на него вступившим в законную силу решением суда обязанность внести необходимые в соответствии с установленными требованиями сведения в ту же систему. Отклоняя доводы заявителя, суды подчеркнули, что органы местного самоуправления, бездействие которых обжаловалось Товариществом, не уполномочены вносить изменения в сведения об адресе многоквартирного дома в отсутствие обращения собственников помещений в нем. По мнению заявителя, часть 101 статьи 161 Жилищного кодекса Российской Федерации, часть 2 статьи 4, часть 3 статьи 5 и пункт 1 части 3 статьи 9 Федерального закона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и подпункт «а» пункта 3 Правил присвоения, изменения и аннулирования адресов противоречат статьям 7 (часть 1), 8, 17 (часть 3), 19 (часть 1), 30 (часть 1), 45, 46 4 (часть 1), 55 (часть 2) и 751 Конституции Российской Федерации, поскольку допускают изменение сведений об адресе многоквартирного дома только по заявлению собственников помещений в нем и не исключают существования одного адреса у двух отдельных многоквартирных домов, что препятствует товариществу собственников жилья, управляющему одним из таких домов, размещать в системе необходимую информацию в случае, если ранее в эту систему были внесены с указанием того же адреса сведения об управлении иной управляющей организацией другим многоквартирным домом.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товарищества собственников жилья «Виктория»,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